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朔环罚〔20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朔州市恒瑞房地产开发有限公司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社会信用代码：9114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0600MAOK3LPU3D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u w:val="none" w:color="auto"/>
          <w:lang w:val="en-US" w:eastAsia="zh-CN"/>
        </w:rPr>
        <w:t>朔州市朔城区南垣街朔州企业总部基地1组团1号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2021年5月24日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朔州市恒瑞房地产开发有限公司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你单位正在建设的朔州恒大华府项目12号楼北侧有一辆装载机正在进行土方回填作业时冒黑烟。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以上事实，有朔州市生态环境局《现场检查（勘察）笔录》、《询问笔录》、营业执照、现场照片等证据为凭。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你单位上述违法行为，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违反了《中华人民共和国大气污染防治法》第五十一条第一款之规定，依据《中华人民共和国大气污染防治法》第一百一十四条第一款之规定，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我局对你单位作出如下行政处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罚：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伍仟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元（￥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日以《行政处罚事先告知书》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（朔环罚告字</w:t>
      </w:r>
      <w:r>
        <w:rPr>
          <w:rFonts w:hint="eastAsia" w:ascii="仿宋_GB2312" w:hAnsi="仿宋_GB2312" w:eastAsia="仿宋_GB2312" w:cs="仿宋_GB2312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告知你单位陈述申辩权（听证申请权），你单位在期限内未提出陈述申辩(听证要求)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限于接到本处罚决定之日起15日内缴至指定银行和账号。逾期不缴纳罚款的，我局可以根据《中华人民共和国行政处罚法》第五十一条第一项规定每日按罚款数额的3％加处罚款。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收款银行：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建行朔州分行营业部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名：朔州市财政局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14001668608050504890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你单位如不服本处罚决定，可在收到本处罚决定书之日起60日内向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山西省生态环境厅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申请行政复议，也可以在6个月内向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朔城区人民法院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918" w:firstLineChars="153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918" w:firstLineChars="153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03C73"/>
    <w:rsid w:val="04403C73"/>
    <w:rsid w:val="085F1B5E"/>
    <w:rsid w:val="20F77ABB"/>
    <w:rsid w:val="2ECF0C8E"/>
    <w:rsid w:val="3F1E2504"/>
    <w:rsid w:val="5D5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2021-07-16T01:49:00Z</dcterms:created>
  <dc:creator>user</dc:creator>
  <cp:lastModifiedBy>user</cp:lastModifiedBy>
  <dcterms:modified xsi:type="dcterms:W3CDTF">2021-07-16T01:52:49Z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7DE23FC790084619AFAD5E837B085DA6</vt:lpwstr>
  </property>
</Properties>
</file>