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44"/>
        </w:rPr>
      </w:pPr>
      <w:r>
        <w:rPr>
          <w:rFonts w:hint="eastAsia" w:ascii="方正小标宋简体" w:hAnsi="方正小标宋简体" w:eastAsia="方正小标宋简体" w:cs="方正小标宋简体"/>
          <w:b w:val="0"/>
          <w:bCs w:val="0"/>
          <w:sz w:val="36"/>
          <w:szCs w:val="44"/>
          <w:lang w:val="en-US" w:eastAsia="zh-CN"/>
        </w:rPr>
        <w:t>朔州市医疗废物处理中心2021年</w:t>
      </w:r>
      <w:r>
        <w:rPr>
          <w:rFonts w:hint="eastAsia" w:ascii="方正小标宋简体" w:hAnsi="方正小标宋简体" w:eastAsia="方正小标宋简体" w:cs="方正小标宋简体"/>
          <w:b w:val="0"/>
          <w:bCs w:val="0"/>
          <w:sz w:val="36"/>
          <w:szCs w:val="44"/>
        </w:rPr>
        <w:t>度部门预算</w:t>
      </w:r>
    </w:p>
    <w:p>
      <w:pPr>
        <w:rPr>
          <w:rFonts w:hint="eastAsia"/>
          <w:b w:val="0"/>
          <w:bCs w:val="0"/>
          <w:sz w:val="32"/>
          <w:szCs w:val="40"/>
        </w:rPr>
      </w:pPr>
    </w:p>
    <w:p>
      <w:pPr>
        <w:jc w:val="center"/>
        <w:rPr>
          <w:rFonts w:hint="eastAsia"/>
          <w:b w:val="0"/>
          <w:bCs w:val="0"/>
          <w:sz w:val="32"/>
          <w:szCs w:val="40"/>
          <w:lang w:val="en-US" w:eastAsia="zh-CN"/>
        </w:rPr>
      </w:pPr>
      <w:r>
        <w:rPr>
          <w:rFonts w:hint="eastAsia"/>
          <w:b w:val="0"/>
          <w:bCs w:val="0"/>
          <w:sz w:val="32"/>
          <w:szCs w:val="40"/>
          <w:lang w:val="en-US" w:eastAsia="zh-CN"/>
        </w:rPr>
        <w:t>目    录</w:t>
      </w:r>
    </w:p>
    <w:p>
      <w:pPr>
        <w:ind w:firstLine="2240" w:firstLineChars="700"/>
        <w:rPr>
          <w:rFonts w:hint="eastAsia"/>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方正黑体简体" w:hAnsi="方正黑体简体" w:eastAsia="方正黑体简体" w:cs="方正黑体简体"/>
          <w:b w:val="0"/>
          <w:bCs w:val="0"/>
          <w:sz w:val="32"/>
          <w:szCs w:val="40"/>
          <w:lang w:val="en-US" w:eastAsia="zh-CN"/>
        </w:rPr>
      </w:pPr>
      <w:r>
        <w:rPr>
          <w:rFonts w:hint="eastAsia" w:ascii="方正黑体简体" w:hAnsi="方正黑体简体" w:eastAsia="方正黑体简体" w:cs="方正黑体简体"/>
          <w:b w:val="0"/>
          <w:bCs w:val="0"/>
          <w:sz w:val="32"/>
          <w:szCs w:val="40"/>
          <w:lang w:val="en-US" w:eastAsia="zh-CN"/>
        </w:rPr>
        <w:t>第一部分  概况……………………………………………1</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一、本部门职责……………………………………………1</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二、机构设置情况…………………………………………4</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b w:val="0"/>
          <w:bCs w:val="0"/>
          <w:sz w:val="32"/>
          <w:szCs w:val="40"/>
          <w:lang w:val="en-US" w:eastAsia="zh-CN"/>
        </w:rPr>
      </w:pPr>
      <w:r>
        <w:rPr>
          <w:rFonts w:hint="eastAsia" w:ascii="方正黑体简体" w:hAnsi="方正黑体简体" w:eastAsia="方正黑体简体" w:cs="方正黑体简体"/>
          <w:b w:val="0"/>
          <w:bCs w:val="0"/>
          <w:sz w:val="32"/>
          <w:szCs w:val="40"/>
          <w:lang w:val="en-US" w:eastAsia="zh-CN"/>
        </w:rPr>
        <w:t>第二部分  2021年度部门预算报表</w:t>
      </w:r>
      <w:r>
        <w:rPr>
          <w:rFonts w:hint="eastAsia" w:ascii="宋体" w:hAnsi="宋体" w:eastAsia="宋体" w:cs="宋体"/>
          <w:b/>
          <w:color w:val="0D0D0D"/>
          <w:kern w:val="0"/>
          <w:sz w:val="31"/>
          <w:szCs w:val="31"/>
          <w:lang w:val="en-US" w:eastAsia="zh-CN" w:bidi="ar"/>
        </w:rPr>
        <w:t>（详见附表）</w:t>
      </w:r>
      <w:r>
        <w:rPr>
          <w:rFonts w:hint="eastAsia" w:ascii="方正黑体简体" w:hAnsi="方正黑体简体" w:eastAsia="方正黑体简体" w:cs="方正黑体简体"/>
          <w:b w:val="0"/>
          <w:bCs w:val="0"/>
          <w:sz w:val="32"/>
          <w:szCs w:val="40"/>
          <w:lang w:val="en-US" w:eastAsia="zh-CN"/>
        </w:rPr>
        <w:t>……………5</w:t>
      </w:r>
      <w:r>
        <w:rPr>
          <w:rFonts w:hint="eastAsia" w:ascii="宋体" w:hAnsi="宋体" w:eastAsia="宋体" w:cs="宋体"/>
          <w:b w:val="0"/>
          <w:bCs w:val="0"/>
          <w:sz w:val="32"/>
          <w:szCs w:val="40"/>
          <w:lang w:val="en-US" w:eastAsia="zh-CN"/>
        </w:rPr>
        <w:t>一、朔州市医疗废物处理中心2021年预算收支总表……………………………………………………………6二、朔州市医疗废物处理中心2021年预算收入总表……………………………………………………………7</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三、朔州市医疗废物处理中心2021年预算支出总表……………………………………………………………7四、朔州市医疗废物处理中心2021年财政拨款收支总表……………………………………………………………8五、朔州市医疗废物处理中心2021年一般公共预算支出预算表…………………………………………………………9</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六、朔州市医疗废物处理中心2021年一般公共预算安排基本支出分经济科目表……………………………………10</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七、</w:t>
      </w:r>
      <w:r>
        <w:rPr>
          <w:rFonts w:hint="default" w:ascii="宋体" w:hAnsi="宋体" w:eastAsia="宋体" w:cs="宋体"/>
          <w:b w:val="0"/>
          <w:bCs w:val="0"/>
          <w:sz w:val="32"/>
          <w:szCs w:val="40"/>
          <w:lang w:val="en-US" w:eastAsia="zh-CN"/>
        </w:rPr>
        <w:t>朔州市医疗废物处理中心</w:t>
      </w:r>
      <w:r>
        <w:rPr>
          <w:rFonts w:hint="eastAsia" w:ascii="宋体" w:hAnsi="宋体" w:eastAsia="宋体" w:cs="宋体"/>
          <w:b w:val="0"/>
          <w:bCs w:val="0"/>
          <w:sz w:val="32"/>
          <w:szCs w:val="40"/>
          <w:lang w:val="en-US" w:eastAsia="zh-CN"/>
        </w:rPr>
        <w:t>2021年政府性基金预算收入预算表……………………………………………………11</w:t>
      </w:r>
    </w:p>
    <w:p>
      <w:pPr>
        <w:keepNext w:val="0"/>
        <w:keepLines w:val="0"/>
        <w:pageBreakBefore w:val="0"/>
        <w:widowControl w:val="0"/>
        <w:kinsoku/>
        <w:wordWrap/>
        <w:overflowPunct/>
        <w:topLinePunct w:val="0"/>
        <w:autoSpaceDE/>
        <w:autoSpaceDN/>
        <w:bidi w:val="0"/>
        <w:adjustRightInd/>
        <w:snapToGrid/>
        <w:jc w:val="distribute"/>
        <w:textAlignment w:val="auto"/>
        <w:rPr>
          <w:rFonts w:hint="default"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八、朔州市医疗废物处理中心2021年政府性基金预算支出预算表……………………………………………………11</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九、朔州市医疗废物处理中心2021年“三公”经费预算财政拨款情况统计表………………………………………11</w:t>
      </w:r>
    </w:p>
    <w:p>
      <w:pPr>
        <w:keepNext w:val="0"/>
        <w:keepLines w:val="0"/>
        <w:pageBreakBefore w:val="0"/>
        <w:widowControl w:val="0"/>
        <w:kinsoku/>
        <w:wordWrap/>
        <w:overflowPunct/>
        <w:topLinePunct w:val="0"/>
        <w:autoSpaceDE/>
        <w:autoSpaceDN/>
        <w:bidi w:val="0"/>
        <w:adjustRightInd/>
        <w:snapToGrid/>
        <w:jc w:val="distribute"/>
        <w:textAlignment w:val="auto"/>
        <w:rPr>
          <w:rFonts w:hint="default"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十、朔州市医疗废物处理中心2021年机关运行经费预算财政拨款情况统计表………………………………………12</w:t>
      </w:r>
    </w:p>
    <w:p>
      <w:pPr>
        <w:keepNext w:val="0"/>
        <w:keepLines w:val="0"/>
        <w:pageBreakBefore w:val="0"/>
        <w:widowControl w:val="0"/>
        <w:kinsoku/>
        <w:wordWrap/>
        <w:overflowPunct/>
        <w:topLinePunct w:val="0"/>
        <w:autoSpaceDE/>
        <w:autoSpaceDN/>
        <w:bidi w:val="0"/>
        <w:adjustRightInd/>
        <w:snapToGrid/>
        <w:jc w:val="distribute"/>
        <w:textAlignment w:val="auto"/>
        <w:rPr>
          <w:rFonts w:hint="default" w:ascii="宋体" w:hAnsi="宋体" w:eastAsia="宋体" w:cs="宋体"/>
          <w:b w:val="0"/>
          <w:bCs w:val="0"/>
          <w:sz w:val="32"/>
          <w:szCs w:val="40"/>
          <w:lang w:val="en-US" w:eastAsia="zh-CN"/>
        </w:rPr>
      </w:pPr>
      <w:r>
        <w:rPr>
          <w:rFonts w:hint="eastAsia" w:ascii="方正黑体简体" w:hAnsi="方正黑体简体" w:eastAsia="方正黑体简体" w:cs="方正黑体简体"/>
          <w:b w:val="0"/>
          <w:bCs w:val="0"/>
          <w:sz w:val="32"/>
          <w:szCs w:val="40"/>
          <w:lang w:val="en-US" w:eastAsia="zh-CN"/>
        </w:rPr>
        <w:t>第三部分  2021年度部门预算情况说明…………………13</w:t>
      </w:r>
      <w:r>
        <w:rPr>
          <w:rFonts w:hint="eastAsia" w:ascii="宋体" w:hAnsi="宋体" w:eastAsia="宋体" w:cs="宋体"/>
          <w:b w:val="0"/>
          <w:bCs w:val="0"/>
          <w:sz w:val="32"/>
          <w:szCs w:val="40"/>
          <w:lang w:val="en-US" w:eastAsia="zh-CN"/>
        </w:rPr>
        <w:t>一、2021年度部门预算数据变动情况及原因………………13二、“三公”经费增减变动原因说明………………………13</w:t>
      </w:r>
    </w:p>
    <w:p>
      <w:pPr>
        <w:keepNext w:val="0"/>
        <w:keepLines w:val="0"/>
        <w:pageBreakBefore w:val="0"/>
        <w:widowControl w:val="0"/>
        <w:kinsoku/>
        <w:wordWrap/>
        <w:overflowPunct/>
        <w:topLinePunct w:val="0"/>
        <w:autoSpaceDE/>
        <w:autoSpaceDN/>
        <w:bidi w:val="0"/>
        <w:adjustRightInd/>
        <w:snapToGrid/>
        <w:jc w:val="distribute"/>
        <w:textAlignment w:val="auto"/>
        <w:rPr>
          <w:rFonts w:hint="default"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三、机关运行经费增减变动原因说明………………………13</w:t>
      </w:r>
    </w:p>
    <w:p>
      <w:pPr>
        <w:keepNext w:val="0"/>
        <w:keepLines w:val="0"/>
        <w:pageBreakBefore w:val="0"/>
        <w:widowControl w:val="0"/>
        <w:kinsoku/>
        <w:wordWrap/>
        <w:overflowPunct/>
        <w:topLinePunct w:val="0"/>
        <w:autoSpaceDE/>
        <w:autoSpaceDN/>
        <w:bidi w:val="0"/>
        <w:adjustRightInd/>
        <w:snapToGrid/>
        <w:jc w:val="distribute"/>
        <w:textAlignment w:val="auto"/>
        <w:rPr>
          <w:rFonts w:hint="default"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四、政府采购情况……………………………………………13五、绩效管理情况……………………………………………14</w:t>
      </w:r>
    </w:p>
    <w:p>
      <w:pPr>
        <w:keepNext w:val="0"/>
        <w:keepLines w:val="0"/>
        <w:pageBreakBefore w:val="0"/>
        <w:widowControl w:val="0"/>
        <w:kinsoku/>
        <w:wordWrap/>
        <w:overflowPunct/>
        <w:topLinePunct w:val="0"/>
        <w:autoSpaceDE/>
        <w:autoSpaceDN/>
        <w:bidi w:val="0"/>
        <w:adjustRightInd/>
        <w:snapToGrid/>
        <w:jc w:val="distribute"/>
        <w:textAlignment w:val="auto"/>
        <w:rPr>
          <w:rFonts w:hint="default"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六、国有资产占有使用情况 ………………………………14七、其他说明…………………………………………………14</w:t>
      </w:r>
    </w:p>
    <w:p>
      <w:pPr>
        <w:keepNext w:val="0"/>
        <w:keepLines w:val="0"/>
        <w:pageBreakBefore w:val="0"/>
        <w:widowControl w:val="0"/>
        <w:kinsoku/>
        <w:wordWrap/>
        <w:overflowPunct/>
        <w:topLinePunct w:val="0"/>
        <w:autoSpaceDE/>
        <w:autoSpaceDN/>
        <w:bidi w:val="0"/>
        <w:adjustRightInd/>
        <w:snapToGrid/>
        <w:jc w:val="distribute"/>
        <w:textAlignment w:val="auto"/>
        <w:rPr>
          <w:rFonts w:hint="default" w:ascii="方正黑体简体" w:hAnsi="方正黑体简体" w:eastAsia="方正黑体简体" w:cs="方正黑体简体"/>
          <w:b w:val="0"/>
          <w:bCs w:val="0"/>
          <w:sz w:val="32"/>
          <w:szCs w:val="40"/>
          <w:lang w:val="en-US" w:eastAsia="zh-CN"/>
        </w:rPr>
      </w:pPr>
      <w:r>
        <w:rPr>
          <w:rFonts w:hint="eastAsia" w:ascii="宋体" w:hAnsi="宋体" w:eastAsia="宋体" w:cs="宋体"/>
          <w:b w:val="0"/>
          <w:bCs w:val="0"/>
          <w:sz w:val="32"/>
          <w:szCs w:val="40"/>
          <w:lang w:val="en-US" w:eastAsia="zh-CN"/>
        </w:rPr>
        <w:t>（一）政府购买服务指导性目录……………………………14（二）其他……………………………………………………14</w:t>
      </w:r>
      <w:r>
        <w:rPr>
          <w:rFonts w:hint="eastAsia" w:ascii="方正黑体简体" w:hAnsi="方正黑体简体" w:eastAsia="方正黑体简体" w:cs="方正黑体简体"/>
          <w:b w:val="0"/>
          <w:bCs w:val="0"/>
          <w:sz w:val="32"/>
          <w:szCs w:val="40"/>
          <w:lang w:val="en-US" w:eastAsia="zh-CN"/>
        </w:rPr>
        <w:t>第四部分名词解释…………………………………………15</w:t>
      </w:r>
    </w:p>
    <w:p>
      <w:pPr>
        <w:ind w:firstLine="640" w:firstLineChars="200"/>
        <w:rPr>
          <w:rFonts w:hint="eastAsia" w:ascii="宋体" w:hAnsi="宋体" w:eastAsia="宋体" w:cs="宋体"/>
          <w:b w:val="0"/>
          <w:bCs w:val="0"/>
          <w:sz w:val="32"/>
          <w:szCs w:val="40"/>
          <w:lang w:val="en-US" w:eastAsia="zh-CN"/>
        </w:rPr>
      </w:pPr>
      <w:r>
        <w:rPr>
          <w:rFonts w:hint="eastAsia" w:ascii="宋体" w:hAnsi="宋体" w:eastAsia="宋体" w:cs="宋体"/>
          <w:b w:val="0"/>
          <w:bCs w:val="0"/>
          <w:sz w:val="32"/>
          <w:szCs w:val="40"/>
          <w:lang w:val="en-US" w:eastAsia="zh-CN"/>
        </w:rPr>
        <w:t xml:space="preserve"> </w:t>
      </w:r>
    </w:p>
    <w:p>
      <w:pPr>
        <w:ind w:firstLine="1280" w:firstLineChars="400"/>
        <w:rPr>
          <w:rFonts w:hint="eastAsia"/>
          <w:b w:val="0"/>
          <w:bCs w:val="0"/>
          <w:sz w:val="32"/>
          <w:szCs w:val="40"/>
          <w:lang w:val="en-US" w:eastAsia="zh-CN"/>
        </w:rPr>
      </w:pPr>
    </w:p>
    <w:p>
      <w:pPr>
        <w:ind w:firstLine="1280" w:firstLineChars="400"/>
        <w:rPr>
          <w:rFonts w:hint="eastAsia"/>
          <w:b w:val="0"/>
          <w:bCs w:val="0"/>
          <w:sz w:val="32"/>
          <w:szCs w:val="40"/>
          <w:lang w:val="en-US" w:eastAsia="zh-CN"/>
        </w:rPr>
      </w:pPr>
    </w:p>
    <w:p>
      <w:pPr>
        <w:ind w:firstLine="1446" w:firstLineChars="400"/>
        <w:rPr>
          <w:rFonts w:hint="eastAsia"/>
          <w:b/>
          <w:bCs/>
          <w:sz w:val="36"/>
          <w:szCs w:val="44"/>
          <w:lang w:val="en-US" w:eastAsia="zh-CN"/>
        </w:rPr>
      </w:pPr>
    </w:p>
    <w:p>
      <w:pPr>
        <w:ind w:firstLine="1084" w:firstLineChars="300"/>
        <w:rPr>
          <w:rFonts w:hint="eastAsia"/>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黑体" w:hAnsi="黑体" w:eastAsia="黑体"/>
          <w:sz w:val="44"/>
          <w:szCs w:val="44"/>
        </w:rPr>
        <w:t>朔州市医疗废物处理中心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2021年</w:t>
      </w:r>
      <w:r>
        <w:rPr>
          <w:rFonts w:hint="eastAsia" w:ascii="方正小标宋简体" w:hAnsi="方正小标宋简体" w:eastAsia="方正小标宋简体" w:cs="方正小标宋简体"/>
          <w:b w:val="0"/>
          <w:bCs w:val="0"/>
          <w:sz w:val="44"/>
          <w:szCs w:val="44"/>
        </w:rPr>
        <w:t>度部门预算</w:t>
      </w:r>
    </w:p>
    <w:p>
      <w:pPr>
        <w:ind w:firstLine="560" w:firstLineChars="200"/>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根据朔州市财政局《关于做好202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年市级部门预算公开工作的通知》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朔财预[202</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要求,现将朔州市医疗废物处理中心</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部门预算予以公开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一、朔州市医疗废物处理中心</w:t>
      </w:r>
      <w:r>
        <w:rPr>
          <w:rFonts w:hint="eastAsia" w:ascii="方正黑体简体" w:hAnsi="方正黑体简体" w:eastAsia="方正黑体简体" w:cs="方正黑体简体"/>
          <w:sz w:val="32"/>
          <w:szCs w:val="32"/>
        </w:rPr>
        <w:t>概况</w:t>
      </w:r>
    </w:p>
    <w:p>
      <w:pPr>
        <w:spacing w:before="100" w:beforeAutospacing="1"/>
        <w:ind w:firstLine="640" w:firstLineChars="200"/>
        <w:jc w:val="both"/>
        <w:rPr>
          <w:rFonts w:hint="eastAsia" w:ascii="仿宋_GB2312" w:hAnsi="仿宋_GB2312" w:eastAsia="仿宋_GB2312" w:cs="仿宋_GB2312"/>
          <w:sz w:val="32"/>
          <w:szCs w:val="32"/>
        </w:rPr>
      </w:pPr>
      <w:r>
        <w:rPr>
          <w:rFonts w:hint="eastAsia" w:ascii="仿宋" w:hAnsi="仿宋" w:eastAsia="仿宋"/>
          <w:sz w:val="32"/>
          <w:szCs w:val="32"/>
        </w:rPr>
        <w:t>朔州市医疗废物焚烧处理厂原隶属于朔州市发改委，成立于2003年“非典”期间， 2011年10月27日，市政府召开了市长办公会议，会议议定：朔州市医疗废物焚烧处理厂移交市环保局。2012年5月市环保局正式接管</w:t>
      </w:r>
      <w:r>
        <w:rPr>
          <w:rFonts w:hint="eastAsia" w:ascii="仿宋" w:hAnsi="仿宋" w:eastAsia="仿宋" w:cs="仿宋"/>
          <w:sz w:val="32"/>
          <w:szCs w:val="32"/>
        </w:rPr>
        <w:t>并负责运营，于2013年2月22日朔州市机构编制委员会以朔编办字[2012]17号批文，</w:t>
      </w:r>
      <w:r>
        <w:rPr>
          <w:rFonts w:hint="eastAsia" w:ascii="仿宋" w:hAnsi="仿宋" w:eastAsia="仿宋" w:cs="仿宋"/>
          <w:sz w:val="32"/>
          <w:szCs w:val="32"/>
          <w:lang w:val="en-US" w:eastAsia="zh-CN"/>
        </w:rPr>
        <w:t>2</w:t>
      </w:r>
      <w:r>
        <w:rPr>
          <w:rFonts w:hint="eastAsia" w:ascii="仿宋" w:hAnsi="仿宋" w:eastAsia="仿宋"/>
          <w:sz w:val="32"/>
          <w:szCs w:val="32"/>
        </w:rPr>
        <w:t>013年成立了朔州市医疗废物处理中心，单位为市生态环境局下设的科级自收自支事业单位，</w:t>
      </w:r>
      <w:r>
        <w:rPr>
          <w:rFonts w:hint="eastAsia" w:ascii="仿宋_GB2312" w:hAnsi="仿宋_GB2312" w:eastAsia="仿宋_GB2312" w:cs="仿宋_GB2312"/>
          <w:sz w:val="32"/>
          <w:szCs w:val="32"/>
        </w:rPr>
        <w:t>朔州市医疗废物处理中心为</w:t>
      </w:r>
      <w:r>
        <w:rPr>
          <w:rFonts w:hint="eastAsia" w:ascii="仿宋_GB2312" w:hAnsi="仿宋_GB2312" w:eastAsia="仿宋_GB2312" w:cs="仿宋_GB2312"/>
          <w:sz w:val="32"/>
          <w:szCs w:val="32"/>
          <w:lang w:val="en-US" w:eastAsia="zh-CN"/>
        </w:rPr>
        <w:t>正科</w:t>
      </w:r>
      <w:r>
        <w:rPr>
          <w:rFonts w:hint="eastAsia" w:ascii="仿宋_GB2312" w:hAnsi="仿宋_GB2312" w:eastAsia="仿宋_GB2312" w:cs="仿宋_GB2312"/>
          <w:sz w:val="32"/>
          <w:szCs w:val="32"/>
        </w:rPr>
        <w:t>级事业单位,</w:t>
      </w:r>
      <w:r>
        <w:rPr>
          <w:rFonts w:hint="eastAsia" w:ascii="仿宋_GB2312" w:hAnsi="仿宋_GB2312" w:eastAsia="仿宋_GB2312" w:cs="仿宋_GB2312"/>
          <w:sz w:val="32"/>
          <w:szCs w:val="32"/>
          <w:lang w:val="en-US" w:eastAsia="zh-CN"/>
        </w:rPr>
        <w:t>人员编制10名，实有人数20人</w:t>
      </w:r>
      <w:r>
        <w:rPr>
          <w:rFonts w:hint="eastAsia" w:ascii="仿宋_GB2312" w:hAnsi="仿宋_GB2312" w:eastAsia="仿宋_GB2312" w:cs="仿宋_GB2312"/>
          <w:sz w:val="32"/>
          <w:szCs w:val="32"/>
        </w:rPr>
        <w:t>。下设</w:t>
      </w:r>
      <w:r>
        <w:rPr>
          <w:rFonts w:hint="eastAsia" w:ascii="仿宋_GB2312" w:hAnsi="仿宋_GB2312" w:eastAsia="仿宋_GB2312" w:cs="仿宋_GB2312"/>
          <w:sz w:val="32"/>
          <w:szCs w:val="32"/>
          <w:lang w:val="en-US" w:eastAsia="zh-CN"/>
        </w:rPr>
        <w:t>办公室、财务室、运行车间、调度室、档案室、</w:t>
      </w:r>
      <w:r>
        <w:rPr>
          <w:rStyle w:val="7"/>
          <w:rFonts w:hint="eastAsia" w:ascii="仿宋" w:hAnsi="仿宋" w:eastAsia="仿宋"/>
          <w:sz w:val="32"/>
          <w:szCs w:val="32"/>
          <w:lang w:val="en-US" w:eastAsia="zh-CN"/>
        </w:rPr>
        <w:t>化验室</w:t>
      </w:r>
      <w:r>
        <w:rPr>
          <w:rFonts w:hint="eastAsia" w:ascii="仿宋_GB2312" w:hAnsi="仿宋_GB2312" w:eastAsia="仿宋_GB2312" w:cs="仿宋_GB2312"/>
          <w:sz w:val="32"/>
          <w:szCs w:val="32"/>
          <w:lang w:val="en-US" w:eastAsia="zh-CN"/>
        </w:rPr>
        <w:t>、库房、污水处理车间、</w:t>
      </w:r>
      <w:r>
        <w:rPr>
          <w:rStyle w:val="7"/>
          <w:rFonts w:hint="eastAsia" w:ascii="仿宋" w:hAnsi="仿宋" w:eastAsia="仿宋"/>
          <w:sz w:val="32"/>
          <w:szCs w:val="32"/>
          <w:lang w:val="en-US" w:eastAsia="zh-CN"/>
        </w:rPr>
        <w:t>业务科</w:t>
      </w:r>
      <w:r>
        <w:rPr>
          <w:rFonts w:hint="eastAsia" w:ascii="仿宋_GB2312" w:hAnsi="仿宋_GB2312" w:eastAsia="仿宋_GB2312" w:cs="仿宋_GB2312"/>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 xml:space="preserve">    </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朔州市医疗废物处理中心</w:t>
      </w:r>
      <w:r>
        <w:rPr>
          <w:rFonts w:hint="eastAsia" w:ascii="方正楷体简体" w:hAnsi="方正楷体简体" w:eastAsia="方正楷体简体" w:cs="方正楷体简体"/>
          <w:sz w:val="32"/>
          <w:szCs w:val="32"/>
        </w:rPr>
        <w:t>主要职责</w:t>
      </w:r>
    </w:p>
    <w:p>
      <w:pPr>
        <w:spacing w:before="100" w:beforeAutospacing="1"/>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 w:hAnsi="仿宋" w:eastAsia="仿宋" w:cs="仿宋"/>
          <w:sz w:val="32"/>
          <w:szCs w:val="32"/>
        </w:rPr>
        <w:t>负责全市范围内医疗废物的收集、拉运、暂存、处置工作。</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2、需定期到医院收集医疗废物，并及时对收集的医疗废物进行焚烧，以保障全市人民的身体健康，改善居民生活环境。</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中心加强对医疗机构医疗废物管理人员进行医废分类、相关法律、法规、安全防护知识宣传，对中心职工进行安全防护知识培训，加强业务知识学习，提升自身素质，建立健全医疗废物管理责任制，做到医疗废物管理制度化、处置规范化。 继续扩大医疗废物处置服务范围，扩展医疗废物处置辐射面，增加服务单位，重点加强对门诊、乡镇医疗卫生机构及畜禽养殖单位产生的医疗废物收集工作，进一步完成医疗废物处置收费工作。</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承办市委、市政府和</w:t>
      </w:r>
      <w:r>
        <w:rPr>
          <w:rFonts w:hint="eastAsia" w:ascii="仿宋" w:hAnsi="仿宋" w:eastAsia="仿宋"/>
          <w:sz w:val="32"/>
          <w:szCs w:val="32"/>
        </w:rPr>
        <w:t>市生态环境局</w:t>
      </w:r>
      <w:r>
        <w:rPr>
          <w:rFonts w:hint="eastAsia" w:ascii="仿宋_GB2312" w:hAnsi="仿宋_GB2312" w:eastAsia="仿宋_GB2312" w:cs="仿宋_GB2312"/>
          <w:sz w:val="32"/>
          <w:szCs w:val="32"/>
        </w:rPr>
        <w:t>交办、转办的其他事项。</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二</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lang w:val="en-US" w:eastAsia="zh-CN"/>
        </w:rPr>
        <w:t>机构设置情况</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办公室</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负责党务、政务工作;负责精神文明建设和双拥建设工作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拟定各项工作制度并监督落实;负责重要会议的组织和决定事项的督办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负责文件报刊收发、综合性文稿的起草;负责车辆调配和管理、购置办公用品等后勤保障工作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负责人事管理、年度考核等工作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2、财务室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（1）按照会计制度及有关规定,结合本单位的具体情况,制定本单位的具体会计核算制度及实施办法,经批准后组织执行;</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（2）随时检查各项财务制度的执行情况,对其中出现的问题及时制止、纠正；</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（3）组织会计人员及时准确地进行公司有关业务的会计核算、决算工作；</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（4）审核相关报表，确保财务报告的准确性，并按时提交；</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（5）根据权限，审批相关的费用支出；</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（6）组织会计人员学习业务知识，提高会计人员的素质。</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val="en-US" w:eastAsia="zh-CN"/>
        </w:rPr>
        <w:t xml:space="preserve"> 3、</w:t>
      </w:r>
      <w:r>
        <w:rPr>
          <w:rStyle w:val="7"/>
          <w:rFonts w:hint="eastAsia" w:ascii="黑体" w:hAnsi="黑体" w:eastAsia="黑体"/>
          <w:sz w:val="32"/>
          <w:szCs w:val="32"/>
          <w:lang w:val="en-US" w:eastAsia="zh-CN"/>
        </w:rPr>
        <w:t>运行车间</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Style w:val="7"/>
          <w:rFonts w:ascii="仿宋" w:hAnsi="仿宋" w:eastAsia="仿宋"/>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w:t>
      </w:r>
      <w:r>
        <w:rPr>
          <w:rStyle w:val="7"/>
          <w:rFonts w:ascii="仿宋" w:hAnsi="仿宋" w:eastAsia="仿宋"/>
          <w:sz w:val="32"/>
          <w:szCs w:val="32"/>
        </w:rPr>
        <w:t>医疗废物</w:t>
      </w:r>
      <w:r>
        <w:rPr>
          <w:rStyle w:val="7"/>
          <w:rFonts w:hint="eastAsia" w:ascii="仿宋" w:hAnsi="仿宋" w:eastAsia="仿宋"/>
          <w:sz w:val="32"/>
          <w:szCs w:val="32"/>
        </w:rPr>
        <w:t>应急处置能力</w:t>
      </w:r>
      <w:r>
        <w:rPr>
          <w:rStyle w:val="7"/>
          <w:rFonts w:ascii="仿宋" w:hAnsi="仿宋" w:eastAsia="仿宋"/>
          <w:sz w:val="32"/>
          <w:szCs w:val="32"/>
        </w:rPr>
        <w:t>，</w:t>
      </w:r>
      <w:r>
        <w:rPr>
          <w:rStyle w:val="7"/>
          <w:rFonts w:hint="eastAsia" w:ascii="仿宋" w:hAnsi="仿宋" w:eastAsia="仿宋"/>
          <w:sz w:val="32"/>
          <w:szCs w:val="32"/>
        </w:rPr>
        <w:t>及时、有序、高效收集医疗废物并加大处置能力</w:t>
      </w:r>
      <w:r>
        <w:rPr>
          <w:rStyle w:val="7"/>
          <w:rFonts w:ascii="仿宋" w:hAnsi="仿宋" w:eastAsia="仿宋"/>
          <w:sz w:val="32"/>
          <w:szCs w:val="32"/>
        </w:rPr>
        <w:t>，保障人民群众身体健康，切实尽职履责</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 w:cs="仿宋_GB2312"/>
          <w:sz w:val="32"/>
          <w:szCs w:val="32"/>
          <w:lang w:eastAsia="zh-CN"/>
        </w:rPr>
      </w:pPr>
      <w:r>
        <w:rPr>
          <w:rFonts w:hint="eastAsia" w:ascii="仿宋_GB2312" w:hAnsi="仿宋_GB2312" w:eastAsia="仿宋_GB2312" w:cs="仿宋_GB2312"/>
          <w:sz w:val="32"/>
          <w:szCs w:val="32"/>
          <w:lang w:val="en-US" w:eastAsia="zh-CN"/>
        </w:rPr>
        <w:t>（2）</w:t>
      </w:r>
      <w:r>
        <w:rPr>
          <w:rStyle w:val="7"/>
          <w:rFonts w:hint="eastAsia" w:ascii="仿宋" w:hAnsi="仿宋" w:eastAsia="仿宋"/>
          <w:sz w:val="32"/>
          <w:szCs w:val="32"/>
        </w:rPr>
        <w:t>加</w:t>
      </w:r>
      <w:r>
        <w:rPr>
          <w:rStyle w:val="7"/>
          <w:rFonts w:ascii="仿宋" w:hAnsi="仿宋" w:eastAsia="仿宋"/>
          <w:sz w:val="32"/>
          <w:szCs w:val="32"/>
        </w:rPr>
        <w:t>强医</w:t>
      </w:r>
      <w:r>
        <w:rPr>
          <w:rStyle w:val="7"/>
          <w:rFonts w:hint="eastAsia" w:ascii="仿宋" w:hAnsi="仿宋" w:eastAsia="仿宋"/>
          <w:sz w:val="32"/>
          <w:szCs w:val="32"/>
        </w:rPr>
        <w:t>疗</w:t>
      </w:r>
      <w:r>
        <w:rPr>
          <w:rStyle w:val="7"/>
          <w:rFonts w:ascii="仿宋" w:hAnsi="仿宋" w:eastAsia="仿宋"/>
          <w:sz w:val="32"/>
          <w:szCs w:val="32"/>
        </w:rPr>
        <w:t>废</w:t>
      </w:r>
      <w:r>
        <w:rPr>
          <w:rStyle w:val="7"/>
          <w:rFonts w:hint="eastAsia" w:ascii="仿宋" w:hAnsi="仿宋" w:eastAsia="仿宋"/>
          <w:sz w:val="32"/>
          <w:szCs w:val="32"/>
        </w:rPr>
        <w:t>物</w:t>
      </w:r>
      <w:r>
        <w:rPr>
          <w:rStyle w:val="7"/>
          <w:rFonts w:ascii="仿宋" w:hAnsi="仿宋" w:eastAsia="仿宋"/>
          <w:sz w:val="32"/>
          <w:szCs w:val="32"/>
        </w:rPr>
        <w:t>运输</w:t>
      </w:r>
      <w:r>
        <w:rPr>
          <w:rStyle w:val="7"/>
          <w:rFonts w:hint="eastAsia" w:ascii="仿宋" w:hAnsi="仿宋" w:eastAsia="仿宋"/>
          <w:sz w:val="32"/>
          <w:szCs w:val="32"/>
        </w:rPr>
        <w:t>、处置</w:t>
      </w:r>
      <w:r>
        <w:rPr>
          <w:rStyle w:val="7"/>
          <w:rFonts w:ascii="仿宋" w:hAnsi="仿宋" w:eastAsia="仿宋"/>
          <w:sz w:val="32"/>
          <w:szCs w:val="32"/>
        </w:rPr>
        <w:t>全过程安全工作，</w:t>
      </w:r>
      <w:r>
        <w:rPr>
          <w:rStyle w:val="7"/>
          <w:rFonts w:hint="eastAsia" w:ascii="仿宋" w:hAnsi="仿宋" w:eastAsia="仿宋"/>
          <w:sz w:val="32"/>
          <w:szCs w:val="32"/>
        </w:rPr>
        <w:t>中心将防护工作细化到人，责任落实到人，完善处置流程</w:t>
      </w:r>
      <w:r>
        <w:rPr>
          <w:rStyle w:val="7"/>
          <w:rFonts w:ascii="仿宋" w:hAnsi="仿宋" w:eastAsia="仿宋"/>
          <w:sz w:val="32"/>
          <w:szCs w:val="32"/>
        </w:rPr>
        <w:t>，及时</w:t>
      </w:r>
      <w:r>
        <w:rPr>
          <w:rStyle w:val="7"/>
          <w:rFonts w:hint="eastAsia" w:ascii="仿宋" w:hAnsi="仿宋" w:eastAsia="仿宋"/>
          <w:sz w:val="32"/>
          <w:szCs w:val="32"/>
        </w:rPr>
        <w:t>拉运、</w:t>
      </w:r>
      <w:r>
        <w:rPr>
          <w:rStyle w:val="7"/>
          <w:rFonts w:ascii="仿宋" w:hAnsi="仿宋" w:eastAsia="仿宋"/>
          <w:sz w:val="32"/>
          <w:szCs w:val="32"/>
        </w:rPr>
        <w:t>处置医疗废物，严格执行医疗废物管理制度、交接制度、转移联单制度，实现全</w:t>
      </w:r>
      <w:r>
        <w:rPr>
          <w:rStyle w:val="7"/>
          <w:rFonts w:hint="eastAsia" w:ascii="仿宋" w:hAnsi="仿宋" w:eastAsia="仿宋"/>
          <w:sz w:val="32"/>
          <w:szCs w:val="32"/>
        </w:rPr>
        <w:t>过</w:t>
      </w:r>
      <w:r>
        <w:rPr>
          <w:rStyle w:val="7"/>
          <w:rFonts w:ascii="仿宋" w:hAnsi="仿宋" w:eastAsia="仿宋"/>
          <w:sz w:val="32"/>
          <w:szCs w:val="32"/>
        </w:rPr>
        <w:t>程信息化管理</w:t>
      </w:r>
      <w:r>
        <w:rPr>
          <w:rStyle w:val="7"/>
          <w:rFonts w:hint="eastAsia" w:ascii="仿宋" w:hAnsi="仿宋" w:eastAsia="仿宋"/>
          <w:sz w:val="32"/>
          <w:szCs w:val="32"/>
          <w:lang w:eastAsia="zh-CN"/>
        </w:rPr>
        <w:t>。</w:t>
      </w:r>
    </w:p>
    <w:p>
      <w:pPr>
        <w:numPr>
          <w:ilvl w:val="0"/>
          <w:numId w:val="0"/>
        </w:numPr>
        <w:spacing w:line="720" w:lineRule="exact"/>
        <w:ind w:firstLine="964" w:firstLineChars="300"/>
        <w:textAlignment w:val="auto"/>
        <w:rPr>
          <w:rStyle w:val="7"/>
          <w:rFonts w:hint="default" w:ascii="黑体" w:hAnsi="黑体" w:eastAsia="黑体"/>
          <w:sz w:val="32"/>
          <w:szCs w:val="32"/>
          <w:lang w:val="en-US" w:eastAsia="zh-CN"/>
        </w:rPr>
      </w:pPr>
      <w:r>
        <w:rPr>
          <w:rFonts w:hint="eastAsia" w:ascii="仿宋_GB2312" w:hAnsi="仿宋_GB2312" w:eastAsia="仿宋_GB2312" w:cs="仿宋_GB2312"/>
          <w:b/>
          <w:bCs/>
          <w:sz w:val="32"/>
          <w:szCs w:val="32"/>
          <w:lang w:val="en-US" w:eastAsia="zh-CN"/>
        </w:rPr>
        <w:t>4、</w:t>
      </w:r>
      <w:r>
        <w:rPr>
          <w:rStyle w:val="7"/>
          <w:rFonts w:hint="eastAsia" w:ascii="黑体" w:hAnsi="黑体" w:eastAsia="黑体"/>
          <w:sz w:val="32"/>
          <w:szCs w:val="32"/>
          <w:lang w:val="en-US" w:eastAsia="zh-CN"/>
        </w:rPr>
        <w:t>调度室</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b/>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Style w:val="7"/>
          <w:rFonts w:hint="eastAsia" w:ascii="仿宋" w:hAnsi="仿宋" w:eastAsia="仿宋"/>
          <w:sz w:val="32"/>
          <w:szCs w:val="32"/>
          <w:lang w:eastAsia="zh-CN"/>
        </w:rPr>
      </w:pPr>
      <w:r>
        <w:rPr>
          <w:rFonts w:hint="eastAsia" w:ascii="仿宋_GB2312" w:hAnsi="仿宋_GB2312" w:eastAsia="仿宋_GB2312" w:cs="仿宋_GB2312"/>
          <w:sz w:val="32"/>
          <w:szCs w:val="32"/>
        </w:rPr>
        <w:t>负责</w:t>
      </w:r>
      <w:r>
        <w:rPr>
          <w:rStyle w:val="7"/>
          <w:rFonts w:ascii="仿宋" w:hAnsi="仿宋" w:eastAsia="仿宋"/>
          <w:sz w:val="32"/>
          <w:szCs w:val="32"/>
        </w:rPr>
        <w:t>医疗废物</w:t>
      </w:r>
      <w:r>
        <w:rPr>
          <w:rStyle w:val="7"/>
          <w:rFonts w:hint="eastAsia" w:ascii="仿宋" w:hAnsi="仿宋" w:eastAsia="仿宋"/>
          <w:sz w:val="32"/>
          <w:szCs w:val="32"/>
          <w:lang w:val="en-US" w:eastAsia="zh-CN"/>
        </w:rPr>
        <w:t>的安全</w:t>
      </w:r>
      <w:r>
        <w:rPr>
          <w:rStyle w:val="7"/>
          <w:rFonts w:ascii="仿宋" w:hAnsi="仿宋" w:eastAsia="仿宋"/>
          <w:sz w:val="32"/>
          <w:szCs w:val="32"/>
        </w:rPr>
        <w:t>拉运</w:t>
      </w:r>
      <w:r>
        <w:rPr>
          <w:rStyle w:val="7"/>
          <w:rFonts w:hint="eastAsia" w:ascii="仿宋" w:hAnsi="仿宋" w:eastAsia="仿宋"/>
          <w:sz w:val="32"/>
          <w:szCs w:val="32"/>
        </w:rPr>
        <w:t>、</w:t>
      </w:r>
      <w:r>
        <w:rPr>
          <w:rStyle w:val="7"/>
          <w:rFonts w:ascii="仿宋" w:hAnsi="仿宋" w:eastAsia="仿宋"/>
          <w:sz w:val="32"/>
          <w:szCs w:val="32"/>
        </w:rPr>
        <w:t>转运</w:t>
      </w:r>
      <w:r>
        <w:rPr>
          <w:rStyle w:val="7"/>
          <w:rFonts w:hint="eastAsia" w:ascii="仿宋" w:hAnsi="仿宋" w:eastAsia="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Style w:val="7"/>
          <w:rFonts w:ascii="仿宋" w:hAnsi="仿宋" w:eastAsia="仿宋"/>
          <w:sz w:val="32"/>
          <w:szCs w:val="32"/>
        </w:rPr>
        <w:t>加强日常督查</w:t>
      </w:r>
      <w:r>
        <w:rPr>
          <w:rStyle w:val="7"/>
          <w:rFonts w:hint="eastAsia" w:ascii="仿宋" w:hAnsi="仿宋" w:eastAsia="仿宋"/>
          <w:sz w:val="32"/>
          <w:szCs w:val="32"/>
        </w:rPr>
        <w:t>，完善规范操作，</w:t>
      </w:r>
      <w:r>
        <w:rPr>
          <w:rStyle w:val="7"/>
          <w:rFonts w:ascii="仿宋" w:hAnsi="仿宋" w:eastAsia="仿宋"/>
          <w:sz w:val="32"/>
          <w:szCs w:val="32"/>
        </w:rPr>
        <w:t>坚持例行检查与定期保养车辆</w:t>
      </w:r>
      <w:r>
        <w:rPr>
          <w:rStyle w:val="7"/>
          <w:rFonts w:hint="eastAsia" w:ascii="仿宋" w:hAnsi="仿宋" w:eastAsia="仿宋"/>
          <w:sz w:val="32"/>
          <w:szCs w:val="32"/>
        </w:rPr>
        <w:t>及运行设备</w:t>
      </w:r>
      <w:r>
        <w:rPr>
          <w:rStyle w:val="7"/>
          <w:rFonts w:hint="eastAsia" w:ascii="仿宋" w:hAnsi="仿宋" w:eastAsia="仿宋"/>
          <w:sz w:val="32"/>
          <w:szCs w:val="32"/>
          <w:lang w:eastAsia="zh-CN"/>
        </w:rPr>
        <w:t>，</w:t>
      </w:r>
      <w:r>
        <w:rPr>
          <w:rStyle w:val="7"/>
          <w:rFonts w:hint="eastAsia" w:ascii="仿宋" w:hAnsi="仿宋" w:eastAsia="仿宋"/>
          <w:sz w:val="32"/>
          <w:szCs w:val="32"/>
        </w:rPr>
        <w:t>为</w:t>
      </w:r>
      <w:r>
        <w:rPr>
          <w:rStyle w:val="7"/>
          <w:rFonts w:ascii="仿宋" w:hAnsi="仿宋" w:eastAsia="仿宋"/>
          <w:sz w:val="32"/>
          <w:szCs w:val="32"/>
        </w:rPr>
        <w:t>保障行车安全，</w:t>
      </w:r>
      <w:r>
        <w:rPr>
          <w:rStyle w:val="7"/>
          <w:rFonts w:hint="eastAsia" w:ascii="仿宋" w:hAnsi="仿宋" w:eastAsia="仿宋"/>
          <w:sz w:val="32"/>
          <w:szCs w:val="32"/>
        </w:rPr>
        <w:t>对所有拉运车辆</w:t>
      </w:r>
      <w:r>
        <w:rPr>
          <w:rStyle w:val="7"/>
          <w:rFonts w:ascii="仿宋" w:hAnsi="仿宋" w:eastAsia="仿宋"/>
          <w:sz w:val="32"/>
          <w:szCs w:val="32"/>
        </w:rPr>
        <w:t>加装</w:t>
      </w:r>
      <w:r>
        <w:rPr>
          <w:rStyle w:val="7"/>
          <w:rFonts w:hint="eastAsia" w:ascii="仿宋" w:hAnsi="仿宋" w:eastAsia="仿宋"/>
          <w:sz w:val="32"/>
          <w:szCs w:val="32"/>
        </w:rPr>
        <w:t>了</w:t>
      </w:r>
      <w:r>
        <w:rPr>
          <w:rStyle w:val="7"/>
          <w:rFonts w:ascii="仿宋" w:hAnsi="仿宋" w:eastAsia="仿宋"/>
          <w:sz w:val="32"/>
          <w:szCs w:val="32"/>
        </w:rPr>
        <w:t>GPS定位系统，实时查询拉运车辆位置及行车轨迹</w:t>
      </w:r>
      <w:r>
        <w:rPr>
          <w:rStyle w:val="7"/>
          <w:rFonts w:hint="eastAsia" w:ascii="仿宋" w:hAnsi="仿宋" w:eastAsia="仿宋"/>
          <w:sz w:val="32"/>
          <w:szCs w:val="32"/>
        </w:rPr>
        <w:t>，</w:t>
      </w:r>
      <w:r>
        <w:rPr>
          <w:rStyle w:val="7"/>
          <w:rFonts w:ascii="仿宋" w:hAnsi="仿宋" w:eastAsia="仿宋"/>
          <w:sz w:val="32"/>
          <w:szCs w:val="32"/>
        </w:rPr>
        <w:t>提高</w:t>
      </w:r>
      <w:r>
        <w:rPr>
          <w:rStyle w:val="7"/>
          <w:rFonts w:hint="eastAsia" w:ascii="仿宋" w:hAnsi="仿宋" w:eastAsia="仿宋"/>
          <w:sz w:val="32"/>
          <w:szCs w:val="32"/>
        </w:rPr>
        <w:t>了</w:t>
      </w:r>
      <w:r>
        <w:rPr>
          <w:rStyle w:val="7"/>
          <w:rFonts w:ascii="仿宋" w:hAnsi="仿宋" w:eastAsia="仿宋"/>
          <w:sz w:val="32"/>
          <w:szCs w:val="32"/>
        </w:rPr>
        <w:t>管理效率</w:t>
      </w:r>
      <w:r>
        <w:rPr>
          <w:rFonts w:hint="eastAsia" w:ascii="仿宋_GB2312" w:hAnsi="仿宋_GB2312" w:eastAsia="仿宋_GB2312" w:cs="仿宋_GB2312"/>
          <w:sz w:val="32"/>
          <w:szCs w:val="32"/>
        </w:rPr>
        <w:t>。</w:t>
      </w:r>
    </w:p>
    <w:p>
      <w:pPr>
        <w:spacing w:line="7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Style w:val="7"/>
          <w:rFonts w:hint="eastAsia" w:ascii="黑体" w:hAnsi="黑体" w:eastAsia="黑体"/>
          <w:b/>
          <w:bCs/>
          <w:sz w:val="32"/>
          <w:szCs w:val="32"/>
          <w:lang w:val="en-US" w:eastAsia="zh-CN"/>
        </w:rPr>
        <w:t>档案室</w:t>
      </w:r>
    </w:p>
    <w:p>
      <w:pPr>
        <w:spacing w:line="7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w:t>
      </w:r>
      <w:r>
        <w:rPr>
          <w:rStyle w:val="7"/>
          <w:rFonts w:ascii="仿宋" w:hAnsi="仿宋" w:eastAsia="仿宋"/>
          <w:sz w:val="32"/>
          <w:szCs w:val="32"/>
        </w:rPr>
        <w:t>完善了档案查借阅制度及交接记录,严格建档立卡</w:t>
      </w:r>
      <w:r>
        <w:rPr>
          <w:rStyle w:val="7"/>
          <w:rFonts w:hint="eastAsia" w:ascii="仿宋" w:hAnsi="仿宋" w:eastAsia="仿宋"/>
          <w:sz w:val="32"/>
          <w:szCs w:val="32"/>
        </w:rPr>
        <w:t>。责成专人</w:t>
      </w:r>
      <w:r>
        <w:rPr>
          <w:rStyle w:val="7"/>
          <w:rFonts w:ascii="仿宋" w:hAnsi="仿宋" w:eastAsia="仿宋"/>
          <w:sz w:val="32"/>
          <w:szCs w:val="32"/>
        </w:rPr>
        <w:t>认真核对各类档案，加强分类管理</w:t>
      </w:r>
      <w:r>
        <w:rPr>
          <w:rStyle w:val="7"/>
          <w:rFonts w:hint="eastAsia" w:ascii="仿宋" w:hAnsi="仿宋" w:eastAsia="仿宋"/>
          <w:sz w:val="32"/>
          <w:szCs w:val="32"/>
        </w:rPr>
        <w:t>，</w:t>
      </w:r>
      <w:r>
        <w:rPr>
          <w:rStyle w:val="7"/>
          <w:rFonts w:ascii="仿宋" w:hAnsi="仿宋" w:eastAsia="仿宋"/>
          <w:sz w:val="32"/>
          <w:szCs w:val="32"/>
        </w:rPr>
        <w:t>重新</w:t>
      </w:r>
      <w:r>
        <w:rPr>
          <w:rStyle w:val="7"/>
          <w:rFonts w:hint="eastAsia" w:ascii="仿宋" w:hAnsi="仿宋" w:eastAsia="仿宋"/>
          <w:sz w:val="32"/>
          <w:szCs w:val="32"/>
        </w:rPr>
        <w:t>标注了档案的</w:t>
      </w:r>
      <w:r>
        <w:rPr>
          <w:rStyle w:val="7"/>
          <w:rFonts w:ascii="仿宋" w:hAnsi="仿宋" w:eastAsia="仿宋"/>
          <w:sz w:val="32"/>
          <w:szCs w:val="32"/>
        </w:rPr>
        <w:t>类别、数量、起止时间和备注</w:t>
      </w:r>
      <w:r>
        <w:rPr>
          <w:rStyle w:val="7"/>
          <w:rFonts w:hint="eastAsia" w:ascii="仿宋" w:hAnsi="仿宋" w:eastAsia="仿宋"/>
          <w:sz w:val="32"/>
          <w:szCs w:val="32"/>
        </w:rPr>
        <w:t>，</w:t>
      </w:r>
      <w:r>
        <w:rPr>
          <w:rStyle w:val="7"/>
          <w:rFonts w:ascii="仿宋" w:hAnsi="仿宋" w:eastAsia="仿宋"/>
          <w:sz w:val="32"/>
          <w:szCs w:val="32"/>
        </w:rPr>
        <w:t>并按要求完成</w:t>
      </w:r>
      <w:r>
        <w:rPr>
          <w:rStyle w:val="7"/>
          <w:rFonts w:hint="eastAsia" w:ascii="仿宋" w:hAnsi="仿宋" w:eastAsia="仿宋"/>
          <w:sz w:val="32"/>
          <w:szCs w:val="32"/>
        </w:rPr>
        <w:t>签</w:t>
      </w:r>
      <w:r>
        <w:rPr>
          <w:rStyle w:val="7"/>
          <w:rFonts w:ascii="仿宋" w:hAnsi="仿宋" w:eastAsia="仿宋"/>
          <w:sz w:val="32"/>
          <w:szCs w:val="32"/>
        </w:rPr>
        <w:t>定、分类、归档、编制电子文档</w:t>
      </w:r>
      <w:r>
        <w:rPr>
          <w:rStyle w:val="7"/>
          <w:rFonts w:hint="eastAsia" w:ascii="仿宋" w:hAnsi="仿宋" w:eastAsia="仿宋"/>
          <w:sz w:val="32"/>
          <w:szCs w:val="32"/>
        </w:rPr>
        <w:t>。</w:t>
      </w:r>
      <w:r>
        <w:rPr>
          <w:rStyle w:val="7"/>
          <w:rFonts w:ascii="仿宋" w:hAnsi="仿宋" w:eastAsia="仿宋"/>
          <w:sz w:val="32"/>
          <w:szCs w:val="32"/>
        </w:rPr>
        <w:t>加强档案日常管</w:t>
      </w:r>
      <w:r>
        <w:rPr>
          <w:rStyle w:val="7"/>
          <w:rFonts w:hint="eastAsia" w:ascii="仿宋" w:hAnsi="仿宋" w:eastAsia="仿宋"/>
          <w:sz w:val="32"/>
          <w:szCs w:val="32"/>
        </w:rPr>
        <w:t>理</w:t>
      </w:r>
      <w:r>
        <w:rPr>
          <w:rStyle w:val="7"/>
          <w:rFonts w:ascii="仿宋" w:hAnsi="仿宋" w:eastAsia="仿宋"/>
          <w:sz w:val="32"/>
          <w:szCs w:val="32"/>
        </w:rPr>
        <w:t>，完善档案借阅制度</w:t>
      </w:r>
      <w:r>
        <w:rPr>
          <w:rStyle w:val="7"/>
          <w:rFonts w:hint="eastAsia" w:ascii="仿宋" w:hAnsi="仿宋" w:eastAsia="仿宋"/>
          <w:sz w:val="32"/>
          <w:szCs w:val="32"/>
        </w:rPr>
        <w:t>，</w:t>
      </w:r>
      <w:r>
        <w:rPr>
          <w:rStyle w:val="7"/>
          <w:rFonts w:ascii="仿宋" w:hAnsi="仿宋" w:eastAsia="仿宋"/>
          <w:sz w:val="32"/>
          <w:szCs w:val="32"/>
        </w:rPr>
        <w:t>细化交接记录</w:t>
      </w:r>
      <w:r>
        <w:rPr>
          <w:rStyle w:val="7"/>
          <w:rFonts w:hint="eastAsia" w:ascii="仿宋" w:hAnsi="仿宋" w:eastAsia="仿宋"/>
          <w:sz w:val="32"/>
          <w:szCs w:val="32"/>
        </w:rPr>
        <w:t>，</w:t>
      </w:r>
      <w:r>
        <w:rPr>
          <w:rStyle w:val="7"/>
          <w:rFonts w:ascii="仿宋" w:hAnsi="仿宋" w:eastAsia="仿宋"/>
          <w:sz w:val="32"/>
          <w:szCs w:val="32"/>
        </w:rPr>
        <w:t>同时认真做好档案室的安全和保密工作，做到了防水、防火、防盗、防潮、防尘、防蛀。</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Style w:val="7"/>
          <w:rFonts w:hint="eastAsia" w:ascii="仿宋" w:hAnsi="仿宋" w:eastAsia="仿宋"/>
          <w:b/>
          <w:bCs/>
          <w:sz w:val="32"/>
          <w:szCs w:val="32"/>
          <w:lang w:val="en-US" w:eastAsia="zh-CN"/>
        </w:rPr>
        <w:t>化验室</w:t>
      </w:r>
    </w:p>
    <w:p>
      <w:pPr>
        <w:spacing w:line="720" w:lineRule="exact"/>
        <w:ind w:firstLine="640" w:firstLineChars="200"/>
        <w:textAlignment w:val="auto"/>
        <w:rPr>
          <w:rStyle w:val="7"/>
          <w:rFonts w:ascii="仿宋" w:hAnsi="仿宋" w:eastAsia="仿宋"/>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w:t>
      </w:r>
      <w:r>
        <w:rPr>
          <w:rStyle w:val="7"/>
          <w:rFonts w:hint="eastAsia" w:ascii="仿宋" w:hAnsi="仿宋" w:eastAsia="仿宋"/>
          <w:sz w:val="32"/>
          <w:szCs w:val="32"/>
        </w:rPr>
        <w:t>医疗废物无害化处理，避免处理过程二次污染，一是</w:t>
      </w:r>
      <w:r>
        <w:rPr>
          <w:rStyle w:val="7"/>
          <w:rFonts w:ascii="仿宋" w:hAnsi="仿宋" w:eastAsia="仿宋"/>
          <w:sz w:val="32"/>
          <w:szCs w:val="32"/>
        </w:rPr>
        <w:t>委托专业机构对化验仪器进行了</w:t>
      </w:r>
      <w:r>
        <w:rPr>
          <w:rStyle w:val="7"/>
          <w:rFonts w:hint="eastAsia" w:ascii="仿宋" w:hAnsi="仿宋" w:eastAsia="仿宋"/>
          <w:sz w:val="32"/>
          <w:szCs w:val="32"/>
        </w:rPr>
        <w:t>比</w:t>
      </w:r>
      <w:r>
        <w:rPr>
          <w:rStyle w:val="7"/>
          <w:rFonts w:ascii="仿宋" w:hAnsi="仿宋" w:eastAsia="仿宋"/>
          <w:sz w:val="32"/>
          <w:szCs w:val="32"/>
        </w:rPr>
        <w:t>对、校正，</w:t>
      </w:r>
      <w:r>
        <w:rPr>
          <w:rStyle w:val="7"/>
          <w:rFonts w:hint="eastAsia" w:ascii="仿宋" w:hAnsi="仿宋" w:eastAsia="仿宋"/>
          <w:sz w:val="32"/>
          <w:szCs w:val="32"/>
        </w:rPr>
        <w:t>保证</w:t>
      </w:r>
      <w:r>
        <w:rPr>
          <w:rStyle w:val="7"/>
          <w:rFonts w:ascii="仿宋" w:hAnsi="仿宋" w:eastAsia="仿宋"/>
          <w:sz w:val="32"/>
          <w:szCs w:val="32"/>
        </w:rPr>
        <w:t>化验室仪器</w:t>
      </w:r>
      <w:r>
        <w:rPr>
          <w:rStyle w:val="7"/>
          <w:rFonts w:hint="eastAsia" w:ascii="仿宋" w:hAnsi="仿宋" w:eastAsia="仿宋"/>
          <w:sz w:val="32"/>
          <w:szCs w:val="32"/>
        </w:rPr>
        <w:t>的</w:t>
      </w:r>
      <w:r>
        <w:rPr>
          <w:rStyle w:val="7"/>
          <w:rFonts w:ascii="仿宋" w:hAnsi="仿宋" w:eastAsia="仿宋"/>
          <w:sz w:val="32"/>
          <w:szCs w:val="32"/>
        </w:rPr>
        <w:t>精准度，提高了中心化验分析水平，确保日常检测工作顺利开展。</w:t>
      </w:r>
      <w:r>
        <w:rPr>
          <w:rStyle w:val="7"/>
          <w:rFonts w:hint="eastAsia" w:ascii="仿宋" w:hAnsi="仿宋" w:eastAsia="仿宋"/>
          <w:sz w:val="32"/>
          <w:szCs w:val="32"/>
          <w:lang w:val="en-US" w:eastAsia="zh-CN"/>
        </w:rPr>
        <w:t>二</w:t>
      </w:r>
      <w:r>
        <w:rPr>
          <w:rStyle w:val="7"/>
          <w:rFonts w:hint="eastAsia" w:ascii="仿宋" w:hAnsi="仿宋" w:eastAsia="仿宋"/>
          <w:sz w:val="32"/>
          <w:szCs w:val="32"/>
        </w:rPr>
        <w:t>是</w:t>
      </w:r>
      <w:r>
        <w:rPr>
          <w:rStyle w:val="7"/>
          <w:rFonts w:ascii="仿宋" w:hAnsi="仿宋" w:eastAsia="仿宋"/>
          <w:sz w:val="32"/>
          <w:szCs w:val="32"/>
        </w:rPr>
        <w:t>加强药品管理，</w:t>
      </w:r>
      <w:r>
        <w:rPr>
          <w:rStyle w:val="7"/>
          <w:rFonts w:hint="eastAsia" w:ascii="仿宋" w:hAnsi="仿宋" w:eastAsia="仿宋"/>
          <w:sz w:val="32"/>
          <w:szCs w:val="32"/>
        </w:rPr>
        <w:t>确保</w:t>
      </w:r>
      <w:r>
        <w:rPr>
          <w:rStyle w:val="7"/>
          <w:rFonts w:ascii="仿宋" w:hAnsi="仿宋" w:eastAsia="仿宋"/>
          <w:sz w:val="32"/>
          <w:szCs w:val="32"/>
        </w:rPr>
        <w:t>实验室安全</w:t>
      </w:r>
      <w:r>
        <w:rPr>
          <w:rStyle w:val="7"/>
          <w:rFonts w:hint="eastAsia" w:ascii="仿宋" w:hAnsi="仿宋" w:eastAsia="仿宋"/>
          <w:sz w:val="32"/>
          <w:szCs w:val="32"/>
        </w:rPr>
        <w:t>，</w:t>
      </w:r>
      <w:r>
        <w:rPr>
          <w:rStyle w:val="7"/>
          <w:rFonts w:ascii="仿宋" w:hAnsi="仿宋" w:eastAsia="仿宋"/>
          <w:sz w:val="32"/>
          <w:szCs w:val="32"/>
        </w:rPr>
        <w:t>根据化学危险品的性质进行妥善分类存放，严格执行双人保管制度</w:t>
      </w:r>
      <w:r>
        <w:rPr>
          <w:rStyle w:val="7"/>
          <w:rFonts w:hint="eastAsia" w:ascii="仿宋" w:hAnsi="仿宋" w:eastAsia="仿宋"/>
          <w:sz w:val="32"/>
          <w:szCs w:val="32"/>
        </w:rPr>
        <w:t>，</w:t>
      </w:r>
      <w:r>
        <w:rPr>
          <w:rStyle w:val="7"/>
          <w:rFonts w:ascii="仿宋" w:hAnsi="仿宋" w:eastAsia="仿宋"/>
          <w:sz w:val="32"/>
          <w:szCs w:val="32"/>
        </w:rPr>
        <w:t>同时加强对实验室仪器、水、电</w:t>
      </w:r>
      <w:r>
        <w:rPr>
          <w:rStyle w:val="7"/>
          <w:rFonts w:hint="eastAsia" w:ascii="仿宋" w:hAnsi="仿宋" w:eastAsia="仿宋"/>
          <w:sz w:val="32"/>
          <w:szCs w:val="32"/>
        </w:rPr>
        <w:t>、</w:t>
      </w:r>
      <w:r>
        <w:rPr>
          <w:rStyle w:val="7"/>
          <w:rFonts w:ascii="仿宋" w:hAnsi="仿宋" w:eastAsia="仿宋"/>
          <w:sz w:val="32"/>
          <w:szCs w:val="32"/>
        </w:rPr>
        <w:t>等重点</w:t>
      </w:r>
      <w:r>
        <w:rPr>
          <w:rStyle w:val="7"/>
          <w:rFonts w:hint="eastAsia" w:ascii="仿宋" w:hAnsi="仿宋" w:eastAsia="仿宋"/>
          <w:sz w:val="32"/>
          <w:szCs w:val="32"/>
        </w:rPr>
        <w:t>环节</w:t>
      </w:r>
      <w:r>
        <w:rPr>
          <w:rStyle w:val="7"/>
          <w:rFonts w:ascii="仿宋" w:hAnsi="仿宋" w:eastAsia="仿宋"/>
          <w:sz w:val="32"/>
          <w:szCs w:val="32"/>
        </w:rPr>
        <w:t>的安全管理力度，积极开展日常检查，杜绝潜在安全隐患。</w:t>
      </w:r>
    </w:p>
    <w:p>
      <w:pPr>
        <w:spacing w:line="720" w:lineRule="exact"/>
        <w:ind w:firstLine="643" w:firstLineChars="200"/>
        <w:textAlignment w:val="auto"/>
        <w:rPr>
          <w:rStyle w:val="7"/>
          <w:rFonts w:hint="eastAsia" w:ascii="仿宋" w:hAnsi="仿宋" w:eastAsia="仿宋"/>
          <w:sz w:val="32"/>
          <w:szCs w:val="32"/>
          <w:lang w:val="en-US" w:eastAsia="zh-CN"/>
        </w:rPr>
      </w:pPr>
      <w:r>
        <w:rPr>
          <w:rFonts w:hint="eastAsia" w:ascii="仿宋_GB2312" w:hAnsi="仿宋_GB2312" w:eastAsia="仿宋_GB2312" w:cs="仿宋_GB2312"/>
          <w:b/>
          <w:bCs/>
          <w:sz w:val="32"/>
          <w:szCs w:val="32"/>
          <w:lang w:val="en-US" w:eastAsia="zh-CN"/>
        </w:rPr>
        <w:t>7、</w:t>
      </w:r>
      <w:r>
        <w:rPr>
          <w:rStyle w:val="7"/>
          <w:rFonts w:hint="eastAsia" w:ascii="仿宋" w:hAnsi="仿宋" w:eastAsia="仿宋"/>
          <w:b/>
          <w:bCs/>
          <w:sz w:val="32"/>
          <w:szCs w:val="32"/>
          <w:lang w:val="en-US" w:eastAsia="zh-CN"/>
        </w:rPr>
        <w:t>库房</w:t>
      </w:r>
    </w:p>
    <w:p>
      <w:pPr>
        <w:spacing w:line="720" w:lineRule="exact"/>
        <w:ind w:firstLine="640" w:firstLineChars="200"/>
        <w:textAlignment w:val="auto"/>
        <w:rPr>
          <w:rStyle w:val="7"/>
          <w:rFonts w:ascii="仿宋" w:hAnsi="仿宋" w:eastAsia="仿宋"/>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w:t>
      </w:r>
      <w:r>
        <w:rPr>
          <w:rStyle w:val="7"/>
          <w:rFonts w:hint="eastAsia" w:ascii="仿宋" w:hAnsi="仿宋" w:eastAsia="仿宋"/>
          <w:sz w:val="32"/>
          <w:szCs w:val="32"/>
        </w:rPr>
        <w:t>出入库</w:t>
      </w:r>
      <w:r>
        <w:rPr>
          <w:rStyle w:val="7"/>
          <w:rFonts w:ascii="仿宋" w:hAnsi="仿宋" w:eastAsia="仿宋"/>
          <w:sz w:val="32"/>
          <w:szCs w:val="32"/>
        </w:rPr>
        <w:t>管理，</w:t>
      </w:r>
      <w:r>
        <w:rPr>
          <w:rStyle w:val="7"/>
          <w:rFonts w:hint="eastAsia" w:ascii="仿宋" w:hAnsi="仿宋" w:eastAsia="仿宋"/>
          <w:sz w:val="32"/>
          <w:szCs w:val="32"/>
        </w:rPr>
        <w:t>设</w:t>
      </w:r>
      <w:r>
        <w:rPr>
          <w:rStyle w:val="7"/>
          <w:rFonts w:ascii="仿宋" w:hAnsi="仿宋" w:eastAsia="仿宋"/>
          <w:sz w:val="32"/>
          <w:szCs w:val="32"/>
        </w:rPr>
        <w:t>专人专管，严把</w:t>
      </w:r>
      <w:r>
        <w:rPr>
          <w:rStyle w:val="7"/>
          <w:rFonts w:hint="eastAsia" w:ascii="仿宋" w:hAnsi="仿宋" w:eastAsia="仿宋"/>
          <w:sz w:val="32"/>
          <w:szCs w:val="32"/>
        </w:rPr>
        <w:t>进出</w:t>
      </w:r>
      <w:r>
        <w:rPr>
          <w:rStyle w:val="7"/>
          <w:rFonts w:ascii="仿宋" w:hAnsi="仿宋" w:eastAsia="仿宋"/>
          <w:sz w:val="32"/>
          <w:szCs w:val="32"/>
        </w:rPr>
        <w:t>关</w:t>
      </w:r>
      <w:r>
        <w:rPr>
          <w:rStyle w:val="7"/>
          <w:rFonts w:hint="eastAsia" w:ascii="仿宋" w:hAnsi="仿宋" w:eastAsia="仿宋"/>
          <w:sz w:val="32"/>
          <w:szCs w:val="32"/>
        </w:rPr>
        <w:t>口</w:t>
      </w:r>
      <w:r>
        <w:rPr>
          <w:rStyle w:val="7"/>
          <w:rFonts w:ascii="仿宋" w:hAnsi="仿宋" w:eastAsia="仿宋"/>
          <w:sz w:val="32"/>
          <w:szCs w:val="32"/>
        </w:rPr>
        <w:t>，</w:t>
      </w:r>
      <w:r>
        <w:rPr>
          <w:rStyle w:val="7"/>
          <w:rFonts w:hint="eastAsia" w:ascii="仿宋" w:hAnsi="仿宋" w:eastAsia="仿宋"/>
          <w:sz w:val="32"/>
          <w:szCs w:val="32"/>
        </w:rPr>
        <w:t>出入</w:t>
      </w:r>
      <w:r>
        <w:rPr>
          <w:rStyle w:val="7"/>
          <w:rFonts w:ascii="仿宋" w:hAnsi="仿宋" w:eastAsia="仿宋"/>
          <w:sz w:val="32"/>
          <w:szCs w:val="32"/>
        </w:rPr>
        <w:t>有</w:t>
      </w:r>
      <w:r>
        <w:rPr>
          <w:rStyle w:val="7"/>
          <w:rFonts w:hint="eastAsia" w:ascii="仿宋" w:hAnsi="仿宋" w:eastAsia="仿宋"/>
          <w:sz w:val="32"/>
          <w:szCs w:val="32"/>
        </w:rPr>
        <w:t>登记、领用有记录，并要求</w:t>
      </w:r>
      <w:r>
        <w:rPr>
          <w:rStyle w:val="7"/>
          <w:rFonts w:ascii="仿宋" w:hAnsi="仿宋" w:eastAsia="仿宋"/>
          <w:sz w:val="32"/>
          <w:szCs w:val="32"/>
        </w:rPr>
        <w:t>定期盘</w:t>
      </w:r>
      <w:r>
        <w:rPr>
          <w:rStyle w:val="7"/>
          <w:rFonts w:hint="eastAsia" w:ascii="仿宋" w:hAnsi="仿宋" w:eastAsia="仿宋"/>
          <w:sz w:val="32"/>
          <w:szCs w:val="32"/>
        </w:rPr>
        <w:t>点</w:t>
      </w:r>
      <w:r>
        <w:rPr>
          <w:rStyle w:val="7"/>
          <w:rFonts w:ascii="仿宋" w:hAnsi="仿宋" w:eastAsia="仿宋"/>
          <w:sz w:val="32"/>
          <w:szCs w:val="32"/>
        </w:rPr>
        <w:t>底数，真正做到记录清、底数明。</w:t>
      </w:r>
    </w:p>
    <w:p>
      <w:pPr>
        <w:spacing w:line="720" w:lineRule="exact"/>
        <w:ind w:firstLine="640" w:firstLineChars="200"/>
        <w:textAlignment w:val="auto"/>
        <w:rPr>
          <w:rStyle w:val="7"/>
          <w:rFonts w:ascii="仿宋" w:hAnsi="仿宋" w:eastAsia="仿宋"/>
          <w:sz w:val="32"/>
          <w:szCs w:val="32"/>
        </w:rPr>
      </w:pPr>
      <w:r>
        <w:rPr>
          <w:rStyle w:val="7"/>
          <w:rFonts w:hint="eastAsia" w:ascii="仿宋" w:hAnsi="仿宋" w:eastAsia="仿宋"/>
          <w:sz w:val="32"/>
          <w:szCs w:val="32"/>
          <w:lang w:eastAsia="zh-CN"/>
        </w:rPr>
        <w:t>（</w:t>
      </w:r>
      <w:r>
        <w:rPr>
          <w:rStyle w:val="7"/>
          <w:rFonts w:hint="eastAsia" w:ascii="仿宋" w:hAnsi="仿宋" w:eastAsia="仿宋"/>
          <w:sz w:val="32"/>
          <w:szCs w:val="32"/>
          <w:lang w:val="en-US" w:eastAsia="zh-CN"/>
        </w:rPr>
        <w:t>2）</w:t>
      </w:r>
      <w:r>
        <w:rPr>
          <w:rStyle w:val="7"/>
          <w:rFonts w:hint="eastAsia" w:ascii="仿宋" w:hAnsi="仿宋" w:eastAsia="仿宋"/>
          <w:sz w:val="32"/>
          <w:szCs w:val="32"/>
        </w:rPr>
        <w:t>对库存用品进行了分类，并配置了灭火装置，要求管理人员定期</w:t>
      </w:r>
      <w:r>
        <w:rPr>
          <w:rStyle w:val="7"/>
          <w:rFonts w:ascii="仿宋" w:hAnsi="仿宋" w:eastAsia="仿宋"/>
          <w:sz w:val="32"/>
          <w:szCs w:val="32"/>
        </w:rPr>
        <w:t>干燥通风</w:t>
      </w:r>
      <w:r>
        <w:rPr>
          <w:rStyle w:val="7"/>
          <w:rFonts w:hint="eastAsia" w:ascii="仿宋" w:hAnsi="仿宋" w:eastAsia="仿宋"/>
          <w:sz w:val="32"/>
          <w:szCs w:val="32"/>
        </w:rPr>
        <w:t>，做好防</w:t>
      </w:r>
      <w:r>
        <w:rPr>
          <w:rStyle w:val="7"/>
          <w:rFonts w:ascii="仿宋" w:hAnsi="仿宋" w:eastAsia="仿宋"/>
          <w:sz w:val="32"/>
          <w:szCs w:val="32"/>
        </w:rPr>
        <w:t>火</w:t>
      </w:r>
      <w:r>
        <w:rPr>
          <w:rStyle w:val="7"/>
          <w:rFonts w:hint="eastAsia" w:ascii="仿宋" w:hAnsi="仿宋" w:eastAsia="仿宋"/>
          <w:sz w:val="32"/>
          <w:szCs w:val="32"/>
        </w:rPr>
        <w:t>、防电、防</w:t>
      </w:r>
      <w:r>
        <w:rPr>
          <w:rStyle w:val="7"/>
          <w:rFonts w:ascii="仿宋" w:hAnsi="仿宋" w:eastAsia="仿宋"/>
          <w:sz w:val="32"/>
          <w:szCs w:val="32"/>
        </w:rPr>
        <w:t>盗安全隐患排查工作。</w:t>
      </w:r>
    </w:p>
    <w:p>
      <w:pPr>
        <w:spacing w:line="720" w:lineRule="exact"/>
        <w:ind w:firstLine="640" w:firstLineChars="200"/>
        <w:textAlignment w:val="auto"/>
        <w:rPr>
          <w:rFonts w:hint="eastAsia" w:ascii="仿宋_GB2312" w:hAnsi="仿宋_GB2312" w:eastAsia="仿宋_GB2312" w:cs="仿宋_GB2312"/>
          <w:sz w:val="32"/>
          <w:szCs w:val="32"/>
        </w:rPr>
      </w:pPr>
      <w:r>
        <w:rPr>
          <w:rStyle w:val="7"/>
          <w:rFonts w:hint="eastAsia" w:ascii="仿宋" w:hAnsi="仿宋" w:eastAsia="仿宋"/>
          <w:sz w:val="32"/>
          <w:szCs w:val="32"/>
          <w:lang w:eastAsia="zh-CN"/>
        </w:rPr>
        <w:t>（</w:t>
      </w:r>
      <w:r>
        <w:rPr>
          <w:rStyle w:val="7"/>
          <w:rFonts w:hint="eastAsia" w:ascii="仿宋" w:hAnsi="仿宋" w:eastAsia="仿宋"/>
          <w:sz w:val="32"/>
          <w:szCs w:val="32"/>
          <w:lang w:val="en-US" w:eastAsia="zh-CN"/>
        </w:rPr>
        <w:t>3</w:t>
      </w:r>
      <w:r>
        <w:rPr>
          <w:rStyle w:val="7"/>
          <w:rFonts w:hint="eastAsia" w:ascii="仿宋" w:hAnsi="仿宋" w:eastAsia="仿宋"/>
          <w:sz w:val="32"/>
          <w:szCs w:val="32"/>
          <w:lang w:eastAsia="zh-CN"/>
        </w:rPr>
        <w:t>）</w:t>
      </w:r>
      <w:r>
        <w:rPr>
          <w:rStyle w:val="7"/>
          <w:rFonts w:ascii="仿宋" w:hAnsi="仿宋" w:eastAsia="仿宋"/>
          <w:sz w:val="32"/>
          <w:szCs w:val="32"/>
        </w:rPr>
        <w:t>严格按照《危险废物收集贮存运输技术规范》</w:t>
      </w:r>
      <w:r>
        <w:rPr>
          <w:rStyle w:val="7"/>
          <w:rFonts w:hint="eastAsia" w:ascii="仿宋" w:hAnsi="仿宋" w:eastAsia="仿宋"/>
          <w:sz w:val="32"/>
          <w:szCs w:val="32"/>
        </w:rPr>
        <w:t>收集、</w:t>
      </w:r>
      <w:r>
        <w:rPr>
          <w:rStyle w:val="7"/>
          <w:rFonts w:ascii="仿宋" w:hAnsi="仿宋" w:eastAsia="仿宋"/>
          <w:sz w:val="32"/>
          <w:szCs w:val="32"/>
        </w:rPr>
        <w:t>封装危险废物</w:t>
      </w:r>
      <w:r>
        <w:rPr>
          <w:rStyle w:val="7"/>
          <w:rFonts w:hint="eastAsia" w:ascii="仿宋" w:hAnsi="仿宋" w:eastAsia="仿宋"/>
          <w:sz w:val="32"/>
          <w:szCs w:val="32"/>
        </w:rPr>
        <w:t>。按规定及时进行转移、处置。</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8、污水处理车间</w:t>
      </w:r>
    </w:p>
    <w:p>
      <w:pPr>
        <w:spacing w:line="720" w:lineRule="exact"/>
        <w:ind w:firstLine="640" w:firstLineChars="200"/>
        <w:textAlignment w:val="auto"/>
        <w:rPr>
          <w:rStyle w:val="7"/>
          <w:rFonts w:ascii="仿宋" w:hAnsi="仿宋" w:eastAsia="仿宋"/>
          <w:sz w:val="32"/>
          <w:szCs w:val="32"/>
        </w:rPr>
      </w:pPr>
      <w:r>
        <w:rPr>
          <w:rStyle w:val="7"/>
          <w:rFonts w:hint="eastAsia" w:ascii="仿宋" w:hAnsi="仿宋" w:eastAsia="仿宋"/>
          <w:sz w:val="32"/>
          <w:szCs w:val="32"/>
          <w:lang w:val="en-US" w:eastAsia="zh-CN"/>
        </w:rPr>
        <w:t>负责生产污水的处理，</w:t>
      </w:r>
      <w:r>
        <w:rPr>
          <w:rStyle w:val="7"/>
          <w:rFonts w:hint="eastAsia" w:ascii="仿宋" w:hAnsi="仿宋" w:eastAsia="仿宋"/>
          <w:sz w:val="32"/>
          <w:szCs w:val="32"/>
        </w:rPr>
        <w:t>为确保</w:t>
      </w:r>
      <w:r>
        <w:rPr>
          <w:rStyle w:val="7"/>
          <w:rFonts w:ascii="仿宋" w:hAnsi="仿宋" w:eastAsia="仿宋"/>
          <w:sz w:val="32"/>
          <w:szCs w:val="32"/>
        </w:rPr>
        <w:t>污水持续稳定达标，</w:t>
      </w:r>
      <w:r>
        <w:rPr>
          <w:rStyle w:val="7"/>
          <w:rFonts w:hint="eastAsia" w:ascii="仿宋" w:hAnsi="仿宋" w:eastAsia="仿宋"/>
          <w:sz w:val="32"/>
          <w:szCs w:val="32"/>
        </w:rPr>
        <w:t>污水处理</w:t>
      </w:r>
      <w:r>
        <w:rPr>
          <w:rStyle w:val="7"/>
          <w:rFonts w:ascii="仿宋" w:hAnsi="仿宋" w:eastAsia="仿宋"/>
          <w:sz w:val="32"/>
          <w:szCs w:val="32"/>
        </w:rPr>
        <w:t>车间严格遵守各项工艺</w:t>
      </w:r>
      <w:r>
        <w:rPr>
          <w:rStyle w:val="7"/>
          <w:rFonts w:hint="eastAsia" w:ascii="仿宋" w:hAnsi="仿宋" w:eastAsia="仿宋"/>
          <w:sz w:val="32"/>
          <w:szCs w:val="32"/>
        </w:rPr>
        <w:t>流程</w:t>
      </w:r>
      <w:r>
        <w:rPr>
          <w:rStyle w:val="7"/>
          <w:rFonts w:ascii="仿宋" w:hAnsi="仿宋" w:eastAsia="仿宋"/>
          <w:sz w:val="32"/>
          <w:szCs w:val="32"/>
        </w:rPr>
        <w:t>，加强技术分析，采取相应措施，实行每</w:t>
      </w:r>
      <w:r>
        <w:rPr>
          <w:rStyle w:val="7"/>
          <w:rFonts w:hint="eastAsia" w:ascii="仿宋" w:hAnsi="仿宋" w:eastAsia="仿宋"/>
          <w:sz w:val="32"/>
          <w:szCs w:val="32"/>
        </w:rPr>
        <w:t>日</w:t>
      </w:r>
      <w:r>
        <w:rPr>
          <w:rStyle w:val="7"/>
          <w:rFonts w:ascii="仿宋" w:hAnsi="仿宋" w:eastAsia="仿宋"/>
          <w:sz w:val="32"/>
          <w:szCs w:val="32"/>
        </w:rPr>
        <w:t>巡查</w:t>
      </w:r>
      <w:r>
        <w:rPr>
          <w:rStyle w:val="7"/>
          <w:rFonts w:hint="eastAsia" w:ascii="仿宋" w:hAnsi="仿宋" w:eastAsia="仿宋"/>
          <w:sz w:val="32"/>
          <w:szCs w:val="32"/>
        </w:rPr>
        <w:t>及时掌握</w:t>
      </w:r>
      <w:r>
        <w:rPr>
          <w:rStyle w:val="7"/>
          <w:rFonts w:ascii="仿宋" w:hAnsi="仿宋" w:eastAsia="仿宋"/>
          <w:sz w:val="32"/>
          <w:szCs w:val="32"/>
        </w:rPr>
        <w:t>运行情况</w:t>
      </w:r>
      <w:r>
        <w:rPr>
          <w:rStyle w:val="7"/>
          <w:rFonts w:hint="eastAsia" w:ascii="仿宋" w:hAnsi="仿宋" w:eastAsia="仿宋"/>
          <w:sz w:val="32"/>
          <w:szCs w:val="32"/>
        </w:rPr>
        <w:t>、</w:t>
      </w:r>
      <w:r>
        <w:rPr>
          <w:rStyle w:val="7"/>
          <w:rFonts w:ascii="仿宋" w:hAnsi="仿宋" w:eastAsia="仿宋"/>
          <w:sz w:val="32"/>
          <w:szCs w:val="32"/>
        </w:rPr>
        <w:t>更换故障设备</w:t>
      </w:r>
      <w:r>
        <w:rPr>
          <w:rStyle w:val="7"/>
          <w:rFonts w:hint="eastAsia" w:ascii="仿宋" w:hAnsi="仿宋" w:eastAsia="仿宋"/>
          <w:sz w:val="32"/>
          <w:szCs w:val="32"/>
        </w:rPr>
        <w:t>，</w:t>
      </w:r>
      <w:r>
        <w:rPr>
          <w:rStyle w:val="7"/>
          <w:rFonts w:ascii="仿宋" w:hAnsi="仿宋" w:eastAsia="仿宋"/>
          <w:sz w:val="32"/>
          <w:szCs w:val="32"/>
        </w:rPr>
        <w:t>优化各个处理</w:t>
      </w:r>
      <w:r>
        <w:rPr>
          <w:rStyle w:val="7"/>
          <w:rFonts w:hint="eastAsia" w:ascii="仿宋" w:hAnsi="仿宋" w:eastAsia="仿宋"/>
          <w:sz w:val="32"/>
          <w:szCs w:val="32"/>
        </w:rPr>
        <w:t>环节的</w:t>
      </w:r>
      <w:r>
        <w:rPr>
          <w:rStyle w:val="7"/>
          <w:rFonts w:ascii="仿宋" w:hAnsi="仿宋" w:eastAsia="仿宋"/>
          <w:sz w:val="32"/>
          <w:szCs w:val="32"/>
        </w:rPr>
        <w:t>运行操作，确保污水达标、循环利用。</w:t>
      </w:r>
    </w:p>
    <w:p>
      <w:pPr>
        <w:numPr>
          <w:ilvl w:val="0"/>
          <w:numId w:val="2"/>
        </w:numPr>
        <w:spacing w:line="720" w:lineRule="exact"/>
        <w:ind w:firstLine="643" w:firstLineChars="200"/>
        <w:textAlignment w:val="auto"/>
        <w:rPr>
          <w:rStyle w:val="7"/>
          <w:rFonts w:hint="eastAsia" w:ascii="仿宋" w:hAnsi="仿宋" w:eastAsia="仿宋"/>
          <w:sz w:val="32"/>
          <w:szCs w:val="32"/>
          <w:lang w:val="en-US" w:eastAsia="zh-CN"/>
        </w:rPr>
      </w:pPr>
      <w:r>
        <w:rPr>
          <w:rStyle w:val="7"/>
          <w:rFonts w:hint="eastAsia" w:ascii="仿宋" w:hAnsi="仿宋" w:eastAsia="仿宋"/>
          <w:b/>
          <w:bCs/>
          <w:sz w:val="32"/>
          <w:szCs w:val="32"/>
          <w:lang w:val="en-US" w:eastAsia="zh-CN"/>
        </w:rPr>
        <w:t>业务科</w:t>
      </w:r>
    </w:p>
    <w:p>
      <w:pPr>
        <w:spacing w:line="720" w:lineRule="exact"/>
        <w:ind w:firstLine="640" w:firstLineChars="200"/>
        <w:textAlignment w:val="auto"/>
        <w:rPr>
          <w:rStyle w:val="7"/>
          <w:rFonts w:hint="default" w:ascii="仿宋" w:hAnsi="仿宋" w:eastAsia="仿宋"/>
          <w:sz w:val="32"/>
          <w:szCs w:val="32"/>
          <w:lang w:val="en-US" w:eastAsia="zh-CN"/>
        </w:rPr>
      </w:pPr>
      <w:r>
        <w:rPr>
          <w:rStyle w:val="7"/>
          <w:rFonts w:hint="eastAsia" w:ascii="仿宋" w:hAnsi="仿宋" w:eastAsia="仿宋"/>
          <w:sz w:val="32"/>
          <w:szCs w:val="32"/>
          <w:lang w:val="en-US" w:eastAsia="zh-CN"/>
        </w:rPr>
        <w:t>负责</w:t>
      </w:r>
      <w:r>
        <w:rPr>
          <w:rStyle w:val="7"/>
          <w:rFonts w:ascii="仿宋" w:hAnsi="仿宋" w:eastAsia="仿宋"/>
          <w:sz w:val="32"/>
          <w:szCs w:val="32"/>
        </w:rPr>
        <w:t>开展业务对接</w:t>
      </w:r>
      <w:r>
        <w:rPr>
          <w:rStyle w:val="7"/>
          <w:rFonts w:hint="eastAsia" w:ascii="仿宋" w:hAnsi="仿宋" w:eastAsia="仿宋"/>
          <w:sz w:val="32"/>
          <w:szCs w:val="32"/>
        </w:rPr>
        <w:t>，提升服务质量。积极拓</w:t>
      </w:r>
      <w:r>
        <w:rPr>
          <w:rStyle w:val="7"/>
          <w:rFonts w:ascii="仿宋" w:hAnsi="仿宋" w:eastAsia="仿宋"/>
          <w:sz w:val="32"/>
          <w:szCs w:val="32"/>
        </w:rPr>
        <w:t>展</w:t>
      </w:r>
      <w:r>
        <w:rPr>
          <w:rStyle w:val="7"/>
          <w:rFonts w:hint="eastAsia" w:ascii="仿宋" w:hAnsi="仿宋" w:eastAsia="仿宋"/>
          <w:sz w:val="32"/>
          <w:szCs w:val="32"/>
        </w:rPr>
        <w:t>医疗废物收集辐射面，</w:t>
      </w:r>
      <w:r>
        <w:rPr>
          <w:rStyle w:val="7"/>
          <w:rFonts w:ascii="仿宋" w:hAnsi="仿宋" w:eastAsia="仿宋"/>
          <w:sz w:val="32"/>
          <w:szCs w:val="32"/>
        </w:rPr>
        <w:t>对中心全市范围内服务的医疗机构进行回访。通过回访，及时发现问题，立行立改</w:t>
      </w:r>
      <w:r>
        <w:rPr>
          <w:rStyle w:val="7"/>
          <w:rFonts w:hint="eastAsia" w:ascii="仿宋" w:hAnsi="仿宋" w:eastAsia="仿宋"/>
          <w:sz w:val="32"/>
          <w:szCs w:val="32"/>
        </w:rPr>
        <w:t>为拓展新业务，打下良好基础。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lang w:val="en-US" w:eastAsia="zh-CN"/>
        </w:rPr>
        <w:t>二</w:t>
      </w:r>
      <w:r>
        <w:rPr>
          <w:rFonts w:hint="eastAsia" w:ascii="方正黑体简体" w:hAnsi="方正黑体简体" w:eastAsia="方正黑体简体" w:cs="方正黑体简体"/>
          <w:b w:val="0"/>
          <w:bCs w:val="0"/>
          <w:sz w:val="32"/>
          <w:szCs w:val="32"/>
        </w:rPr>
        <w:t>、202</w:t>
      </w:r>
      <w:r>
        <w:rPr>
          <w:rFonts w:hint="eastAsia" w:ascii="方正黑体简体" w:hAnsi="方正黑体简体" w:eastAsia="方正黑体简体" w:cs="方正黑体简体"/>
          <w:b w:val="0"/>
          <w:bCs w:val="0"/>
          <w:sz w:val="32"/>
          <w:szCs w:val="32"/>
          <w:lang w:val="en-US" w:eastAsia="zh-CN"/>
        </w:rPr>
        <w:t>1</w:t>
      </w:r>
      <w:r>
        <w:rPr>
          <w:rFonts w:hint="eastAsia" w:ascii="方正黑体简体" w:hAnsi="方正黑体简体" w:eastAsia="方正黑体简体" w:cs="方正黑体简体"/>
          <w:b w:val="0"/>
          <w:bCs w:val="0"/>
          <w:sz w:val="32"/>
          <w:szCs w:val="32"/>
        </w:rPr>
        <w:t>年度</w:t>
      </w:r>
      <w:r>
        <w:rPr>
          <w:rFonts w:hint="eastAsia" w:ascii="仿宋" w:hAnsi="仿宋" w:eastAsia="仿宋"/>
          <w:sz w:val="32"/>
          <w:szCs w:val="32"/>
        </w:rPr>
        <w:t>朔州市医疗废物处理中心</w:t>
      </w:r>
      <w:r>
        <w:rPr>
          <w:rFonts w:hint="eastAsia" w:ascii="方正黑体简体" w:hAnsi="方正黑体简体" w:eastAsia="方正黑体简体" w:cs="方正黑体简体"/>
          <w:b w:val="0"/>
          <w:bCs w:val="0"/>
          <w:sz w:val="32"/>
          <w:szCs w:val="32"/>
        </w:rPr>
        <w:t>部门预算报表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朔州市医疗废物处理中心202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年预算收支总</w:t>
      </w:r>
      <w:r>
        <w:rPr>
          <w:rFonts w:hint="eastAsia" w:ascii="仿宋_GB2312" w:hAnsi="仿宋_GB2312" w:eastAsia="仿宋_GB2312" w:cs="仿宋_GB2312"/>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 w:hAnsi="仿宋" w:eastAsia="仿宋"/>
          <w:sz w:val="32"/>
          <w:szCs w:val="32"/>
        </w:rPr>
        <w:t>朔州市医疗废物处理中心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年预算收入总</w:t>
      </w:r>
      <w:r>
        <w:rPr>
          <w:rFonts w:hint="eastAsia" w:ascii="仿宋_GB2312" w:hAnsi="仿宋_GB2312" w:eastAsia="仿宋_GB2312" w:cs="仿宋_GB2312"/>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 w:hAnsi="仿宋" w:eastAsia="仿宋"/>
          <w:sz w:val="32"/>
          <w:szCs w:val="32"/>
        </w:rPr>
        <w:t>朔州市医疗废物处理中心</w:t>
      </w:r>
      <w:r>
        <w:rPr>
          <w:rFonts w:hint="eastAsia" w:ascii="仿宋_GB2312" w:hAnsi="仿宋_GB2312" w:eastAsia="仿宋_GB2312" w:cs="仿宋_GB2312"/>
          <w:sz w:val="32"/>
          <w:szCs w:val="32"/>
          <w:lang w:val="en-US" w:eastAsia="zh-CN"/>
        </w:rPr>
        <w:t>2021年预算支出总表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 w:hAnsi="仿宋" w:eastAsia="仿宋"/>
          <w:sz w:val="32"/>
          <w:szCs w:val="32"/>
        </w:rPr>
        <w:t>朔州市医疗废物处理中心</w:t>
      </w:r>
      <w:r>
        <w:rPr>
          <w:rFonts w:hint="eastAsia" w:ascii="仿宋_GB2312" w:hAnsi="仿宋_GB2312" w:eastAsia="仿宋_GB2312" w:cs="仿宋_GB2312"/>
          <w:sz w:val="32"/>
          <w:szCs w:val="32"/>
          <w:lang w:val="en-US" w:eastAsia="zh-CN"/>
        </w:rPr>
        <w:t>2021年财政拨款收支总表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 w:hAnsi="仿宋" w:eastAsia="仿宋"/>
          <w:sz w:val="32"/>
          <w:szCs w:val="32"/>
        </w:rPr>
        <w:t>朔州市医疗废物处理中心</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一般公共预算支出预算表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 w:hAnsi="仿宋" w:eastAsia="仿宋"/>
          <w:sz w:val="32"/>
          <w:szCs w:val="32"/>
        </w:rPr>
        <w:t>朔州市医疗废物处理中心</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一般公共预算安排基本支出分经济科目表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w:t>
      </w:r>
      <w:r>
        <w:rPr>
          <w:rFonts w:hint="eastAsia" w:ascii="仿宋" w:hAnsi="仿宋" w:eastAsia="仿宋"/>
          <w:sz w:val="32"/>
          <w:szCs w:val="32"/>
        </w:rPr>
        <w:t>朔州市医疗废物处理中心</w:t>
      </w:r>
      <w:r>
        <w:rPr>
          <w:rFonts w:hint="eastAsia" w:ascii="仿宋_GB2312" w:hAnsi="仿宋_GB2312" w:eastAsia="仿宋_GB2312" w:cs="仿宋_GB2312"/>
          <w:b w:val="0"/>
          <w:bCs w:val="0"/>
          <w:sz w:val="32"/>
          <w:szCs w:val="32"/>
          <w:lang w:val="en-US" w:eastAsia="zh-CN"/>
        </w:rPr>
        <w:t>2021年政府性基金预算收入预算表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 w:hAnsi="仿宋" w:eastAsia="仿宋"/>
          <w:sz w:val="32"/>
          <w:szCs w:val="32"/>
        </w:rPr>
        <w:t>朔州市医疗废物处理中心</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政府性基金支出预算表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 w:hAnsi="仿宋" w:eastAsia="仿宋"/>
          <w:sz w:val="32"/>
          <w:szCs w:val="32"/>
        </w:rPr>
        <w:t>朔州市医疗废物处理中心</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“三公”经费预算财政拨款情况统计表</w:t>
      </w:r>
    </w:p>
    <w:p>
      <w:pPr>
        <w:keepNext w:val="0"/>
        <w:keepLines w:val="0"/>
        <w:pageBreakBefore w:val="0"/>
        <w:widowControl w:val="0"/>
        <w:kinsoku/>
        <w:wordWrap/>
        <w:overflowPunct/>
        <w:topLinePunct w:val="0"/>
        <w:autoSpaceDE/>
        <w:autoSpaceDN/>
        <w:bidi w:val="0"/>
        <w:adjustRightInd/>
        <w:snapToGrid/>
        <w:spacing w:line="64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 w:hAnsi="仿宋" w:eastAsia="仿宋"/>
          <w:sz w:val="32"/>
          <w:szCs w:val="32"/>
        </w:rPr>
        <w:t>朔州市医疗废物处理中心</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机关运行经费预算财政拨款情况统计表</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以上表格的具体内容,详见附件1-</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表。本部门全部为一般公共预算,无政府性基金</w:t>
      </w:r>
      <w:r>
        <w:rPr>
          <w:rFonts w:hint="eastAsia" w:ascii="仿宋_GB2312" w:hAnsi="仿宋_GB2312" w:eastAsia="仿宋_GB2312" w:cs="仿宋_GB2312"/>
          <w:sz w:val="32"/>
          <w:szCs w:val="32"/>
          <w:lang w:val="en-US" w:eastAsia="zh-CN"/>
        </w:rPr>
        <w:t>收入、</w:t>
      </w:r>
      <w:r>
        <w:rPr>
          <w:rFonts w:hint="eastAsia" w:ascii="仿宋_GB2312" w:hAnsi="仿宋_GB2312" w:eastAsia="仿宋_GB2312" w:cs="仿宋_GB2312"/>
          <w:sz w:val="32"/>
          <w:szCs w:val="32"/>
        </w:rPr>
        <w:t>支出预算。</w:t>
      </w:r>
    </w:p>
    <w:tbl>
      <w:tblPr>
        <w:tblW w:w="9690" w:type="dxa"/>
        <w:tblInd w:w="-553" w:type="dxa"/>
        <w:shd w:val="clear"/>
        <w:tblLayout w:type="fixed"/>
        <w:tblCellMar>
          <w:top w:w="0" w:type="dxa"/>
          <w:left w:w="108" w:type="dxa"/>
          <w:bottom w:w="0" w:type="dxa"/>
          <w:right w:w="108" w:type="dxa"/>
        </w:tblCellMar>
      </w:tblPr>
      <w:tblGrid>
        <w:gridCol w:w="1606"/>
        <w:gridCol w:w="585"/>
        <w:gridCol w:w="1154"/>
        <w:gridCol w:w="1351"/>
        <w:gridCol w:w="150"/>
        <w:gridCol w:w="254"/>
        <w:gridCol w:w="841"/>
        <w:gridCol w:w="405"/>
        <w:gridCol w:w="750"/>
        <w:gridCol w:w="840"/>
        <w:gridCol w:w="14"/>
        <w:gridCol w:w="436"/>
        <w:gridCol w:w="1304"/>
      </w:tblGrid>
      <w:tr>
        <w:tblPrEx>
          <w:tblCellMar>
            <w:top w:w="0" w:type="dxa"/>
            <w:left w:w="108" w:type="dxa"/>
            <w:bottom w:w="0" w:type="dxa"/>
            <w:right w:w="108" w:type="dxa"/>
          </w:tblCellMar>
        </w:tblPrEx>
        <w:trPr>
          <w:trHeight w:val="345" w:hRule="atLeast"/>
        </w:trPr>
        <w:tc>
          <w:tcPr>
            <w:tcW w:w="3345" w:type="dxa"/>
            <w:gridSpan w:val="3"/>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1755" w:type="dxa"/>
            <w:gridSpan w:val="3"/>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850" w:type="dxa"/>
            <w:gridSpan w:val="5"/>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740"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预算公开表1</w:t>
            </w:r>
          </w:p>
        </w:tc>
      </w:tr>
      <w:tr>
        <w:tblPrEx>
          <w:tblCellMar>
            <w:top w:w="0" w:type="dxa"/>
            <w:left w:w="108" w:type="dxa"/>
            <w:bottom w:w="0" w:type="dxa"/>
            <w:right w:w="108" w:type="dxa"/>
          </w:tblCellMar>
        </w:tblPrEx>
        <w:trPr>
          <w:trHeight w:val="720" w:hRule="atLeast"/>
        </w:trPr>
        <w:tc>
          <w:tcPr>
            <w:tcW w:w="9690" w:type="dxa"/>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default" w:ascii="华文中宋" w:hAnsi="华文中宋" w:eastAsia="华文中宋" w:cs="华文中宋"/>
                <w:b/>
                <w:bCs/>
                <w:i w:val="0"/>
                <w:iCs w:val="0"/>
                <w:color w:val="000000"/>
                <w:kern w:val="0"/>
                <w:sz w:val="32"/>
                <w:szCs w:val="32"/>
                <w:u w:val="none"/>
                <w:bdr w:val="none" w:color="auto" w:sz="0" w:space="0"/>
                <w:lang w:val="en-US" w:eastAsia="zh-CN" w:bidi="ar"/>
              </w:rPr>
              <w:t>2021年预算收支总表</w:t>
            </w:r>
          </w:p>
        </w:tc>
      </w:tr>
      <w:tr>
        <w:tblPrEx>
          <w:tblCellMar>
            <w:top w:w="0" w:type="dxa"/>
            <w:left w:w="108" w:type="dxa"/>
            <w:bottom w:w="0" w:type="dxa"/>
            <w:right w:w="108" w:type="dxa"/>
          </w:tblCellMar>
        </w:tblPrEx>
        <w:trPr>
          <w:trHeight w:val="315" w:hRule="atLeast"/>
        </w:trPr>
        <w:tc>
          <w:tcPr>
            <w:tcW w:w="3345" w:type="dxa"/>
            <w:gridSpan w:val="3"/>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1755" w:type="dxa"/>
            <w:gridSpan w:val="3"/>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2850" w:type="dxa"/>
            <w:gridSpan w:val="5"/>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1740" w:type="dxa"/>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trHeight w:val="465" w:hRule="atLeast"/>
        </w:trPr>
        <w:tc>
          <w:tcPr>
            <w:tcW w:w="5100" w:type="dxa"/>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收入</w:t>
            </w:r>
          </w:p>
        </w:tc>
        <w:tc>
          <w:tcPr>
            <w:tcW w:w="4590" w:type="dxa"/>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支出</w:t>
            </w: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2021年</w:t>
            </w: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2021年</w:t>
            </w: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一、一般公共预算</w:t>
            </w: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一般公共服务支出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二、纳入预算管理的政府性基金</w:t>
            </w: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外交支出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三、财政专户管理资金</w:t>
            </w: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国防支出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四、单位资金</w:t>
            </w: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公共安全支出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科学技术支出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文化旅游体育与传媒支出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社会保障和就业支出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社会保险基金支出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卫生健康支出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节能环保支出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城乡社区支出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农林水支出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资源勘探工业信息等支出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商业服务业等支出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援助其他地区支出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自然资源海洋气象等支出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住房保障支出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粮油物资储备支出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灾害防治及应急管理支出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预备费</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转移性支出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债务还本支出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债务付息支出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债务发行费用支出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抗疫特别国债安排的支出</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6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本年收入合计</w:t>
            </w:r>
          </w:p>
        </w:tc>
        <w:tc>
          <w:tcPr>
            <w:tcW w:w="175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2850"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本年支出合计</w:t>
            </w:r>
          </w:p>
        </w:tc>
        <w:tc>
          <w:tcPr>
            <w:tcW w:w="174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r>
      <w:tr>
        <w:tblPrEx>
          <w:tblCellMar>
            <w:top w:w="0" w:type="dxa"/>
            <w:left w:w="108" w:type="dxa"/>
            <w:bottom w:w="0" w:type="dxa"/>
            <w:right w:w="108" w:type="dxa"/>
          </w:tblCellMar>
        </w:tblPrEx>
        <w:trPr>
          <w:trHeight w:val="1120" w:hRule="atLeast"/>
        </w:trPr>
        <w:tc>
          <w:tcPr>
            <w:tcW w:w="1606"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p>
            <w:pPr>
              <w:rPr>
                <w:rFonts w:hint="eastAsia" w:ascii="Calibri" w:hAnsi="Calibri" w:cs="Calibri"/>
                <w:i w:val="0"/>
                <w:iCs w:val="0"/>
                <w:color w:val="000000"/>
                <w:sz w:val="22"/>
                <w:szCs w:val="22"/>
                <w:u w:val="none"/>
              </w:rPr>
            </w:pPr>
          </w:p>
          <w:p>
            <w:pPr>
              <w:rPr>
                <w:rFonts w:hint="eastAsia" w:ascii="Calibri" w:hAnsi="Calibri" w:cs="Calibri"/>
                <w:i w:val="0"/>
                <w:iCs w:val="0"/>
                <w:color w:val="000000"/>
                <w:sz w:val="22"/>
                <w:szCs w:val="22"/>
                <w:u w:val="none"/>
              </w:rPr>
            </w:pPr>
          </w:p>
          <w:p>
            <w:pPr>
              <w:rPr>
                <w:rFonts w:hint="eastAsia" w:ascii="Calibri" w:hAnsi="Calibri" w:cs="Calibri"/>
                <w:i w:val="0"/>
                <w:iCs w:val="0"/>
                <w:color w:val="000000"/>
                <w:sz w:val="22"/>
                <w:szCs w:val="22"/>
                <w:u w:val="none"/>
              </w:rPr>
            </w:pPr>
          </w:p>
          <w:p>
            <w:pPr>
              <w:rPr>
                <w:rFonts w:hint="eastAsia" w:ascii="Calibri" w:hAnsi="Calibri" w:cs="Calibri"/>
                <w:i w:val="0"/>
                <w:iCs w:val="0"/>
                <w:color w:val="000000"/>
                <w:sz w:val="22"/>
                <w:szCs w:val="22"/>
                <w:u w:val="none"/>
              </w:rPr>
            </w:pPr>
          </w:p>
        </w:tc>
        <w:tc>
          <w:tcPr>
            <w:tcW w:w="1739"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501"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095"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155"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290" w:type="dxa"/>
            <w:gridSpan w:val="3"/>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304"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预算公开表2</w:t>
            </w:r>
          </w:p>
        </w:tc>
      </w:tr>
      <w:tr>
        <w:tblPrEx>
          <w:tblCellMar>
            <w:top w:w="0" w:type="dxa"/>
            <w:left w:w="108" w:type="dxa"/>
            <w:bottom w:w="0" w:type="dxa"/>
            <w:right w:w="108" w:type="dxa"/>
          </w:tblCellMar>
        </w:tblPrEx>
        <w:trPr>
          <w:trHeight w:val="720" w:hRule="atLeast"/>
        </w:trPr>
        <w:tc>
          <w:tcPr>
            <w:tcW w:w="9690" w:type="dxa"/>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default" w:ascii="华文中宋" w:hAnsi="华文中宋" w:eastAsia="华文中宋" w:cs="华文中宋"/>
                <w:b/>
                <w:bCs/>
                <w:i w:val="0"/>
                <w:iCs w:val="0"/>
                <w:color w:val="000000"/>
                <w:kern w:val="0"/>
                <w:sz w:val="32"/>
                <w:szCs w:val="32"/>
                <w:u w:val="none"/>
                <w:bdr w:val="none" w:color="auto" w:sz="0" w:space="0"/>
                <w:lang w:val="en-US" w:eastAsia="zh-CN" w:bidi="ar"/>
              </w:rPr>
              <w:t>2021年预算收入总表</w:t>
            </w:r>
          </w:p>
        </w:tc>
      </w:tr>
      <w:tr>
        <w:tblPrEx>
          <w:tblCellMar>
            <w:top w:w="0" w:type="dxa"/>
            <w:left w:w="108" w:type="dxa"/>
            <w:bottom w:w="0" w:type="dxa"/>
            <w:right w:w="108" w:type="dxa"/>
          </w:tblCellMar>
        </w:tblPrEx>
        <w:trPr>
          <w:trHeight w:val="300" w:hRule="atLeast"/>
        </w:trPr>
        <w:tc>
          <w:tcPr>
            <w:tcW w:w="1606"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739" w:type="dxa"/>
            <w:gridSpan w:val="2"/>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501" w:type="dxa"/>
            <w:gridSpan w:val="2"/>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095" w:type="dxa"/>
            <w:gridSpan w:val="2"/>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155" w:type="dxa"/>
            <w:gridSpan w:val="2"/>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290" w:type="dxa"/>
            <w:gridSpan w:val="3"/>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04"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trHeight w:val="49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6345"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2021年预算数</w:t>
            </w:r>
          </w:p>
        </w:tc>
      </w:tr>
      <w:tr>
        <w:tblPrEx>
          <w:tblCellMar>
            <w:top w:w="0" w:type="dxa"/>
            <w:left w:w="108" w:type="dxa"/>
            <w:bottom w:w="0" w:type="dxa"/>
            <w:right w:w="108" w:type="dxa"/>
          </w:tblCellMar>
        </w:tblPrEx>
        <w:trPr>
          <w:trHeight w:val="900" w:hRule="atLeast"/>
        </w:trPr>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科目编码</w:t>
            </w:r>
          </w:p>
        </w:tc>
        <w:tc>
          <w:tcPr>
            <w:tcW w:w="17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科目名称</w:t>
            </w:r>
          </w:p>
        </w:tc>
        <w:tc>
          <w:tcPr>
            <w:tcW w:w="150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本年收入合计</w:t>
            </w:r>
          </w:p>
        </w:tc>
        <w:tc>
          <w:tcPr>
            <w:tcW w:w="10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一般公共预算</w:t>
            </w:r>
          </w:p>
        </w:tc>
        <w:tc>
          <w:tcPr>
            <w:tcW w:w="11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政府性基金</w:t>
            </w:r>
          </w:p>
        </w:tc>
        <w:tc>
          <w:tcPr>
            <w:tcW w:w="12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财政专户管理资金</w:t>
            </w:r>
          </w:p>
        </w:tc>
        <w:tc>
          <w:tcPr>
            <w:tcW w:w="1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单位资金</w:t>
            </w:r>
          </w:p>
        </w:tc>
      </w:tr>
      <w:tr>
        <w:tblPrEx>
          <w:tblCellMar>
            <w:top w:w="0" w:type="dxa"/>
            <w:left w:w="108" w:type="dxa"/>
            <w:bottom w:w="0" w:type="dxa"/>
            <w:right w:w="108" w:type="dxa"/>
          </w:tblCellMar>
        </w:tblPrEx>
        <w:trPr>
          <w:trHeight w:val="450" w:hRule="atLeast"/>
        </w:trPr>
        <w:tc>
          <w:tcPr>
            <w:tcW w:w="160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15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0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15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6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211</w:t>
            </w:r>
          </w:p>
        </w:tc>
        <w:tc>
          <w:tcPr>
            <w:tcW w:w="17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节能环保支出</w:t>
            </w:r>
          </w:p>
        </w:tc>
        <w:tc>
          <w:tcPr>
            <w:tcW w:w="15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0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15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6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03</w:t>
            </w:r>
          </w:p>
        </w:tc>
        <w:tc>
          <w:tcPr>
            <w:tcW w:w="17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污染防治</w:t>
            </w:r>
          </w:p>
        </w:tc>
        <w:tc>
          <w:tcPr>
            <w:tcW w:w="15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0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15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6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04</w:t>
            </w:r>
          </w:p>
        </w:tc>
        <w:tc>
          <w:tcPr>
            <w:tcW w:w="17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固体废弃物与化学品</w:t>
            </w:r>
          </w:p>
        </w:tc>
        <w:tc>
          <w:tcPr>
            <w:tcW w:w="150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09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15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9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1606"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739"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501"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095"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155"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290" w:type="dxa"/>
            <w:gridSpan w:val="3"/>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304"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CellMar>
            <w:top w:w="0" w:type="dxa"/>
            <w:left w:w="108" w:type="dxa"/>
            <w:bottom w:w="0" w:type="dxa"/>
            <w:right w:w="108" w:type="dxa"/>
          </w:tblCellMar>
        </w:tblPrEx>
        <w:trPr>
          <w:wAfter w:w="0" w:type="auto"/>
          <w:trHeight w:val="315" w:hRule="atLeast"/>
        </w:trPr>
        <w:tc>
          <w:tcPr>
            <w:tcW w:w="2191" w:type="dxa"/>
            <w:gridSpan w:val="2"/>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2505"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50" w:type="dxa"/>
            <w:gridSpan w:val="4"/>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590"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754" w:type="dxa"/>
            <w:gridSpan w:val="3"/>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预算公开表3</w:t>
            </w:r>
          </w:p>
        </w:tc>
      </w:tr>
      <w:tr>
        <w:tblPrEx>
          <w:tblCellMar>
            <w:top w:w="0" w:type="dxa"/>
            <w:left w:w="108" w:type="dxa"/>
            <w:bottom w:w="0" w:type="dxa"/>
            <w:right w:w="108" w:type="dxa"/>
          </w:tblCellMar>
        </w:tblPrEx>
        <w:trPr>
          <w:wAfter w:w="0" w:type="auto"/>
          <w:trHeight w:val="720" w:hRule="atLeast"/>
        </w:trPr>
        <w:tc>
          <w:tcPr>
            <w:tcW w:w="9690" w:type="dxa"/>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default" w:ascii="华文中宋" w:hAnsi="华文中宋" w:eastAsia="华文中宋" w:cs="华文中宋"/>
                <w:b/>
                <w:bCs/>
                <w:i w:val="0"/>
                <w:iCs w:val="0"/>
                <w:color w:val="000000"/>
                <w:kern w:val="0"/>
                <w:sz w:val="32"/>
                <w:szCs w:val="32"/>
                <w:u w:val="none"/>
                <w:bdr w:val="none" w:color="auto" w:sz="0" w:space="0"/>
                <w:lang w:val="en-US" w:eastAsia="zh-CN" w:bidi="ar"/>
              </w:rPr>
              <w:t>2021年预算支出总表</w:t>
            </w:r>
          </w:p>
        </w:tc>
      </w:tr>
      <w:tr>
        <w:tblPrEx>
          <w:tblCellMar>
            <w:top w:w="0" w:type="dxa"/>
            <w:left w:w="108" w:type="dxa"/>
            <w:bottom w:w="0" w:type="dxa"/>
            <w:right w:w="108" w:type="dxa"/>
          </w:tblCellMar>
        </w:tblPrEx>
        <w:trPr>
          <w:wAfter w:w="0" w:type="auto"/>
          <w:trHeight w:val="300" w:hRule="atLeast"/>
        </w:trPr>
        <w:tc>
          <w:tcPr>
            <w:tcW w:w="2191" w:type="dxa"/>
            <w:gridSpan w:val="2"/>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2505" w:type="dxa"/>
            <w:gridSpan w:val="2"/>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650" w:type="dxa"/>
            <w:gridSpan w:val="4"/>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590" w:type="dxa"/>
            <w:gridSpan w:val="2"/>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754" w:type="dxa"/>
            <w:gridSpan w:val="3"/>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wAfter w:w="0" w:type="auto"/>
          <w:trHeight w:val="450" w:hRule="atLeast"/>
        </w:trPr>
        <w:tc>
          <w:tcPr>
            <w:tcW w:w="4696"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4994"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2021年预算数</w:t>
            </w:r>
          </w:p>
        </w:tc>
      </w:tr>
      <w:tr>
        <w:tblPrEx>
          <w:tblCellMar>
            <w:top w:w="0" w:type="dxa"/>
            <w:left w:w="108" w:type="dxa"/>
            <w:bottom w:w="0" w:type="dxa"/>
            <w:right w:w="108" w:type="dxa"/>
          </w:tblCellMar>
        </w:tblPrEx>
        <w:trPr>
          <w:wAfter w:w="0" w:type="auto"/>
          <w:trHeight w:val="450" w:hRule="atLeast"/>
        </w:trPr>
        <w:tc>
          <w:tcPr>
            <w:tcW w:w="219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科目编码</w:t>
            </w:r>
          </w:p>
        </w:tc>
        <w:tc>
          <w:tcPr>
            <w:tcW w:w="250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科目名称</w:t>
            </w:r>
          </w:p>
        </w:tc>
        <w:tc>
          <w:tcPr>
            <w:tcW w:w="165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合计</w:t>
            </w:r>
          </w:p>
        </w:tc>
        <w:tc>
          <w:tcPr>
            <w:tcW w:w="15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基本支出</w:t>
            </w:r>
          </w:p>
        </w:tc>
        <w:tc>
          <w:tcPr>
            <w:tcW w:w="1754"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项目支出</w:t>
            </w:r>
          </w:p>
        </w:tc>
      </w:tr>
      <w:tr>
        <w:tblPrEx>
          <w:tblCellMar>
            <w:top w:w="0" w:type="dxa"/>
            <w:left w:w="108" w:type="dxa"/>
            <w:bottom w:w="0" w:type="dxa"/>
            <w:right w:w="108" w:type="dxa"/>
          </w:tblCellMar>
        </w:tblPrEx>
        <w:trPr>
          <w:wAfter w:w="0" w:type="auto"/>
          <w:trHeight w:val="450" w:hRule="atLeast"/>
        </w:trPr>
        <w:tc>
          <w:tcPr>
            <w:tcW w:w="219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165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5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4"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r>
      <w:tr>
        <w:tblPrEx>
          <w:tblCellMar>
            <w:top w:w="0" w:type="dxa"/>
            <w:left w:w="108" w:type="dxa"/>
            <w:bottom w:w="0" w:type="dxa"/>
            <w:right w:w="108" w:type="dxa"/>
          </w:tblCellMar>
        </w:tblPrEx>
        <w:trPr>
          <w:wAfter w:w="0" w:type="auto"/>
          <w:trHeight w:val="450" w:hRule="atLeast"/>
        </w:trPr>
        <w:tc>
          <w:tcPr>
            <w:tcW w:w="219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211</w:t>
            </w:r>
          </w:p>
        </w:tc>
        <w:tc>
          <w:tcPr>
            <w:tcW w:w="250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节能环保支出</w:t>
            </w:r>
          </w:p>
        </w:tc>
        <w:tc>
          <w:tcPr>
            <w:tcW w:w="165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5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4"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wAfter w:w="0" w:type="auto"/>
          <w:trHeight w:val="450" w:hRule="atLeast"/>
        </w:trPr>
        <w:tc>
          <w:tcPr>
            <w:tcW w:w="219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03</w:t>
            </w:r>
          </w:p>
        </w:tc>
        <w:tc>
          <w:tcPr>
            <w:tcW w:w="250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污染防治</w:t>
            </w:r>
          </w:p>
        </w:tc>
        <w:tc>
          <w:tcPr>
            <w:tcW w:w="165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5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4"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wAfter w:w="0" w:type="auto"/>
          <w:trHeight w:val="450" w:hRule="atLeast"/>
        </w:trPr>
        <w:tc>
          <w:tcPr>
            <w:tcW w:w="2191"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04</w:t>
            </w:r>
          </w:p>
        </w:tc>
        <w:tc>
          <w:tcPr>
            <w:tcW w:w="2505"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固体废弃物与化学品</w:t>
            </w:r>
          </w:p>
        </w:tc>
        <w:tc>
          <w:tcPr>
            <w:tcW w:w="1650"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59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754"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tbl>
      <w:tblPr>
        <w:tblW w:w="9705" w:type="dxa"/>
        <w:tblInd w:w="-538" w:type="dxa"/>
        <w:shd w:val="clear"/>
        <w:tblLayout w:type="fixed"/>
        <w:tblCellMar>
          <w:top w:w="0" w:type="dxa"/>
          <w:left w:w="108" w:type="dxa"/>
          <w:bottom w:w="0" w:type="dxa"/>
          <w:right w:w="108" w:type="dxa"/>
        </w:tblCellMar>
      </w:tblPr>
      <w:tblGrid>
        <w:gridCol w:w="2235"/>
        <w:gridCol w:w="1335"/>
        <w:gridCol w:w="2235"/>
        <w:gridCol w:w="1140"/>
        <w:gridCol w:w="1485"/>
        <w:gridCol w:w="1275"/>
      </w:tblGrid>
      <w:tr>
        <w:tblPrEx>
          <w:shd w:val="clear"/>
          <w:tblCellMar>
            <w:top w:w="0" w:type="dxa"/>
            <w:left w:w="108" w:type="dxa"/>
            <w:bottom w:w="0" w:type="dxa"/>
            <w:right w:w="108" w:type="dxa"/>
          </w:tblCellMar>
        </w:tblPrEx>
        <w:trPr>
          <w:trHeight w:val="300" w:hRule="atLeast"/>
        </w:trPr>
        <w:tc>
          <w:tcPr>
            <w:tcW w:w="2235"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133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23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140"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48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275"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预算公开表4</w:t>
            </w:r>
          </w:p>
        </w:tc>
      </w:tr>
      <w:tr>
        <w:tblPrEx>
          <w:tblCellMar>
            <w:top w:w="0" w:type="dxa"/>
            <w:left w:w="108" w:type="dxa"/>
            <w:bottom w:w="0" w:type="dxa"/>
            <w:right w:w="108" w:type="dxa"/>
          </w:tblCellMar>
        </w:tblPrEx>
        <w:trPr>
          <w:trHeight w:val="810" w:hRule="atLeast"/>
        </w:trPr>
        <w:tc>
          <w:tcPr>
            <w:tcW w:w="9705"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default" w:ascii="华文中宋" w:hAnsi="华文中宋" w:eastAsia="华文中宋" w:cs="华文中宋"/>
                <w:b/>
                <w:bCs/>
                <w:i w:val="0"/>
                <w:iCs w:val="0"/>
                <w:color w:val="000000"/>
                <w:kern w:val="0"/>
                <w:sz w:val="32"/>
                <w:szCs w:val="32"/>
                <w:u w:val="none"/>
                <w:bdr w:val="none" w:color="auto" w:sz="0" w:space="0"/>
                <w:lang w:val="en-US" w:eastAsia="zh-CN" w:bidi="ar"/>
              </w:rPr>
              <w:t>2021年财政拨款收支总表</w:t>
            </w:r>
          </w:p>
        </w:tc>
      </w:tr>
      <w:tr>
        <w:tblPrEx>
          <w:tblCellMar>
            <w:top w:w="0" w:type="dxa"/>
            <w:left w:w="108" w:type="dxa"/>
            <w:bottom w:w="0" w:type="dxa"/>
            <w:right w:w="108" w:type="dxa"/>
          </w:tblCellMar>
        </w:tblPrEx>
        <w:trPr>
          <w:trHeight w:val="300" w:hRule="atLeast"/>
        </w:trPr>
        <w:tc>
          <w:tcPr>
            <w:tcW w:w="2235" w:type="dxa"/>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1335" w:type="dxa"/>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2235" w:type="dxa"/>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1485" w:type="dxa"/>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1275"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trHeight w:val="420" w:hRule="atLeast"/>
        </w:trPr>
        <w:tc>
          <w:tcPr>
            <w:tcW w:w="357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收入</w:t>
            </w:r>
          </w:p>
        </w:tc>
        <w:tc>
          <w:tcPr>
            <w:tcW w:w="6135"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支出</w:t>
            </w:r>
          </w:p>
        </w:tc>
      </w:tr>
      <w:tr>
        <w:tblPrEx>
          <w:tblCellMar>
            <w:top w:w="0" w:type="dxa"/>
            <w:left w:w="108" w:type="dxa"/>
            <w:bottom w:w="0" w:type="dxa"/>
            <w:right w:w="108" w:type="dxa"/>
          </w:tblCellMar>
        </w:tblPrEx>
        <w:trPr>
          <w:trHeight w:val="420" w:hRule="atLeast"/>
        </w:trPr>
        <w:tc>
          <w:tcPr>
            <w:tcW w:w="223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133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金额</w:t>
            </w:r>
          </w:p>
        </w:tc>
        <w:tc>
          <w:tcPr>
            <w:tcW w:w="2235"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390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金额</w:t>
            </w:r>
          </w:p>
        </w:tc>
      </w:tr>
      <w:tr>
        <w:tblPrEx>
          <w:tblCellMar>
            <w:top w:w="0" w:type="dxa"/>
            <w:left w:w="108" w:type="dxa"/>
            <w:bottom w:w="0" w:type="dxa"/>
            <w:right w:w="108" w:type="dxa"/>
          </w:tblCellMar>
        </w:tblPrEx>
        <w:trPr>
          <w:trHeight w:val="420" w:hRule="atLeast"/>
        </w:trPr>
        <w:tc>
          <w:tcPr>
            <w:tcW w:w="223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小计</w:t>
            </w: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一般公共预算</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政府性基金</w:t>
            </w: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一、一般公共预算</w:t>
            </w: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一般公共服务支出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22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二、纳入预算管理的政府性基金</w:t>
            </w: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外交支出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国防支出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公共安全支出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教育支出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科学技术支出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文化旅游体育与传媒支出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社会保障和就业支出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社会保险基金支出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卫生健康支出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节能环保支出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城乡社区支出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农林水支出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交通运输支出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资源勘探工业信息等支出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商业服务业等支出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金融支出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援助其他地区支出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自然资源海洋气象等支出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住房保障支出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粮油物资储备支出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国有资本经营预算支出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灾害防治及应急管理支出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预备费</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转移性支出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债务还本支出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债务付息支出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债务发行费用支出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抗疫特别国债安排的支出</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本年收入合计</w:t>
            </w:r>
          </w:p>
        </w:tc>
        <w:tc>
          <w:tcPr>
            <w:tcW w:w="13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22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本年支出合计</w:t>
            </w:r>
          </w:p>
        </w:tc>
        <w:tc>
          <w:tcPr>
            <w:tcW w:w="11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4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412.61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tbl>
      <w:tblPr>
        <w:tblW w:w="9630" w:type="dxa"/>
        <w:tblInd w:w="-523" w:type="dxa"/>
        <w:shd w:val="clear"/>
        <w:tblLayout w:type="fixed"/>
        <w:tblCellMar>
          <w:top w:w="0" w:type="dxa"/>
          <w:left w:w="108" w:type="dxa"/>
          <w:bottom w:w="0" w:type="dxa"/>
          <w:right w:w="108" w:type="dxa"/>
        </w:tblCellMar>
      </w:tblPr>
      <w:tblGrid>
        <w:gridCol w:w="1876"/>
        <w:gridCol w:w="2636"/>
        <w:gridCol w:w="1923"/>
        <w:gridCol w:w="1455"/>
        <w:gridCol w:w="1740"/>
      </w:tblGrid>
      <w:tr>
        <w:tblPrEx>
          <w:shd w:val="clear"/>
          <w:tblCellMar>
            <w:top w:w="0" w:type="dxa"/>
            <w:left w:w="108" w:type="dxa"/>
            <w:bottom w:w="0" w:type="dxa"/>
            <w:right w:w="108" w:type="dxa"/>
          </w:tblCellMar>
        </w:tblPrEx>
        <w:trPr>
          <w:trHeight w:val="405" w:hRule="atLeast"/>
        </w:trPr>
        <w:tc>
          <w:tcPr>
            <w:tcW w:w="1876"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2636"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923"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45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74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预算公开表5</w:t>
            </w:r>
          </w:p>
        </w:tc>
      </w:tr>
      <w:tr>
        <w:tblPrEx>
          <w:tblCellMar>
            <w:top w:w="0" w:type="dxa"/>
            <w:left w:w="108" w:type="dxa"/>
            <w:bottom w:w="0" w:type="dxa"/>
            <w:right w:w="108" w:type="dxa"/>
          </w:tblCellMar>
        </w:tblPrEx>
        <w:trPr>
          <w:trHeight w:val="675" w:hRule="atLeast"/>
        </w:trPr>
        <w:tc>
          <w:tcPr>
            <w:tcW w:w="9630"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default" w:ascii="华文中宋" w:hAnsi="华文中宋" w:eastAsia="华文中宋" w:cs="华文中宋"/>
                <w:b/>
                <w:bCs/>
                <w:i w:val="0"/>
                <w:iCs w:val="0"/>
                <w:color w:val="000000"/>
                <w:kern w:val="0"/>
                <w:sz w:val="32"/>
                <w:szCs w:val="32"/>
                <w:u w:val="none"/>
                <w:bdr w:val="none" w:color="auto" w:sz="0" w:space="0"/>
                <w:lang w:val="en-US" w:eastAsia="zh-CN" w:bidi="ar"/>
              </w:rPr>
              <w:t>2021年一般预算支出预算表</w:t>
            </w:r>
          </w:p>
        </w:tc>
      </w:tr>
      <w:tr>
        <w:tblPrEx>
          <w:tblCellMar>
            <w:top w:w="0" w:type="dxa"/>
            <w:left w:w="108" w:type="dxa"/>
            <w:bottom w:w="0" w:type="dxa"/>
            <w:right w:w="108" w:type="dxa"/>
          </w:tblCellMar>
        </w:tblPrEx>
        <w:trPr>
          <w:trHeight w:val="300" w:hRule="atLeast"/>
        </w:trPr>
        <w:tc>
          <w:tcPr>
            <w:tcW w:w="1876"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2636"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923"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45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74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trHeight w:val="450" w:hRule="atLeast"/>
        </w:trPr>
        <w:tc>
          <w:tcPr>
            <w:tcW w:w="451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11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2021年预算数</w:t>
            </w:r>
          </w:p>
        </w:tc>
      </w:tr>
      <w:tr>
        <w:tblPrEx>
          <w:tblCellMar>
            <w:top w:w="0" w:type="dxa"/>
            <w:left w:w="108" w:type="dxa"/>
            <w:bottom w:w="0" w:type="dxa"/>
            <w:right w:w="108" w:type="dxa"/>
          </w:tblCellMar>
        </w:tblPrEx>
        <w:trPr>
          <w:trHeight w:val="450" w:hRule="atLeast"/>
        </w:trPr>
        <w:tc>
          <w:tcPr>
            <w:tcW w:w="18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263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92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7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CellMar>
            <w:top w:w="0" w:type="dxa"/>
            <w:left w:w="108" w:type="dxa"/>
            <w:bottom w:w="0" w:type="dxa"/>
            <w:right w:w="108" w:type="dxa"/>
          </w:tblCellMar>
        </w:tblPrEx>
        <w:trPr>
          <w:trHeight w:val="450" w:hRule="atLeast"/>
        </w:trPr>
        <w:tc>
          <w:tcPr>
            <w:tcW w:w="1876"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263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92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412.61</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7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412.61</w:t>
            </w:r>
          </w:p>
        </w:tc>
      </w:tr>
      <w:tr>
        <w:tblPrEx>
          <w:tblCellMar>
            <w:top w:w="0" w:type="dxa"/>
            <w:left w:w="108" w:type="dxa"/>
            <w:bottom w:w="0" w:type="dxa"/>
            <w:right w:w="108" w:type="dxa"/>
          </w:tblCellMar>
        </w:tblPrEx>
        <w:trPr>
          <w:trHeight w:val="450" w:hRule="atLeast"/>
        </w:trPr>
        <w:tc>
          <w:tcPr>
            <w:tcW w:w="18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211</w:t>
            </w:r>
          </w:p>
        </w:tc>
        <w:tc>
          <w:tcPr>
            <w:tcW w:w="263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节能环保支出</w:t>
            </w:r>
          </w:p>
        </w:tc>
        <w:tc>
          <w:tcPr>
            <w:tcW w:w="192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412.61</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7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412.61</w:t>
            </w:r>
          </w:p>
        </w:tc>
      </w:tr>
      <w:tr>
        <w:tblPrEx>
          <w:tblCellMar>
            <w:top w:w="0" w:type="dxa"/>
            <w:left w:w="108" w:type="dxa"/>
            <w:bottom w:w="0" w:type="dxa"/>
            <w:right w:w="108" w:type="dxa"/>
          </w:tblCellMar>
        </w:tblPrEx>
        <w:trPr>
          <w:trHeight w:val="450" w:hRule="atLeast"/>
        </w:trPr>
        <w:tc>
          <w:tcPr>
            <w:tcW w:w="18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03</w:t>
            </w:r>
          </w:p>
        </w:tc>
        <w:tc>
          <w:tcPr>
            <w:tcW w:w="263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污染防治</w:t>
            </w:r>
          </w:p>
        </w:tc>
        <w:tc>
          <w:tcPr>
            <w:tcW w:w="192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412.61</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7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412.61</w:t>
            </w:r>
          </w:p>
        </w:tc>
      </w:tr>
      <w:tr>
        <w:tblPrEx>
          <w:tblCellMar>
            <w:top w:w="0" w:type="dxa"/>
            <w:left w:w="108" w:type="dxa"/>
            <w:bottom w:w="0" w:type="dxa"/>
            <w:right w:w="108" w:type="dxa"/>
          </w:tblCellMar>
        </w:tblPrEx>
        <w:trPr>
          <w:trHeight w:val="450" w:hRule="atLeast"/>
        </w:trPr>
        <w:tc>
          <w:tcPr>
            <w:tcW w:w="187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04</w:t>
            </w:r>
          </w:p>
        </w:tc>
        <w:tc>
          <w:tcPr>
            <w:tcW w:w="263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固体废弃物与化学品</w:t>
            </w:r>
          </w:p>
        </w:tc>
        <w:tc>
          <w:tcPr>
            <w:tcW w:w="192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412.61</w:t>
            </w:r>
          </w:p>
        </w:tc>
        <w:tc>
          <w:tcPr>
            <w:tcW w:w="145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7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412.61</w:t>
            </w: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tbl>
      <w:tblPr>
        <w:tblW w:w="9194" w:type="dxa"/>
        <w:tblInd w:w="93" w:type="dxa"/>
        <w:shd w:val="clear"/>
        <w:tblLayout w:type="autofit"/>
        <w:tblCellMar>
          <w:top w:w="0" w:type="dxa"/>
          <w:left w:w="108" w:type="dxa"/>
          <w:bottom w:w="0" w:type="dxa"/>
          <w:right w:w="108" w:type="dxa"/>
        </w:tblCellMar>
      </w:tblPr>
      <w:tblGrid>
        <w:gridCol w:w="3930"/>
        <w:gridCol w:w="2490"/>
        <w:gridCol w:w="2774"/>
      </w:tblGrid>
      <w:tr>
        <w:tblPrEx>
          <w:tblCellMar>
            <w:top w:w="0" w:type="dxa"/>
            <w:left w:w="108" w:type="dxa"/>
            <w:bottom w:w="0" w:type="dxa"/>
            <w:right w:w="108" w:type="dxa"/>
          </w:tblCellMar>
        </w:tblPrEx>
        <w:trPr>
          <w:trHeight w:val="345" w:hRule="atLeast"/>
        </w:trPr>
        <w:tc>
          <w:tcPr>
            <w:tcW w:w="3930"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2490"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74"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预算公开表6</w:t>
            </w:r>
          </w:p>
        </w:tc>
      </w:tr>
      <w:tr>
        <w:tblPrEx>
          <w:tblCellMar>
            <w:top w:w="0" w:type="dxa"/>
            <w:left w:w="108" w:type="dxa"/>
            <w:bottom w:w="0" w:type="dxa"/>
            <w:right w:w="108" w:type="dxa"/>
          </w:tblCellMar>
        </w:tblPrEx>
        <w:trPr>
          <w:trHeight w:val="720" w:hRule="atLeast"/>
        </w:trPr>
        <w:tc>
          <w:tcPr>
            <w:tcW w:w="9194" w:type="dxa"/>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一般公共预算安排基本支出分经济科目表</w:t>
            </w:r>
          </w:p>
        </w:tc>
      </w:tr>
      <w:tr>
        <w:tblPrEx>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2774"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经济科目名称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预算数</w:t>
            </w:r>
          </w:p>
        </w:tc>
        <w:tc>
          <w:tcPr>
            <w:tcW w:w="27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774"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tbl>
      <w:tblPr>
        <w:tblW w:w="9240" w:type="dxa"/>
        <w:tblInd w:w="93" w:type="dxa"/>
        <w:shd w:val="clear"/>
        <w:tblLayout w:type="autofit"/>
        <w:tblCellMar>
          <w:top w:w="0" w:type="dxa"/>
          <w:left w:w="108" w:type="dxa"/>
          <w:bottom w:w="0" w:type="dxa"/>
          <w:right w:w="108" w:type="dxa"/>
        </w:tblCellMar>
      </w:tblPr>
      <w:tblGrid>
        <w:gridCol w:w="2205"/>
        <w:gridCol w:w="4545"/>
        <w:gridCol w:w="2490"/>
      </w:tblGrid>
      <w:tr>
        <w:tblPrEx>
          <w:shd w:val="clear"/>
          <w:tblCellMar>
            <w:top w:w="0" w:type="dxa"/>
            <w:left w:w="108" w:type="dxa"/>
            <w:bottom w:w="0" w:type="dxa"/>
            <w:right w:w="108" w:type="dxa"/>
          </w:tblCellMar>
        </w:tblPrEx>
        <w:trPr>
          <w:trHeight w:val="375" w:hRule="atLeast"/>
        </w:trPr>
        <w:tc>
          <w:tcPr>
            <w:tcW w:w="2205"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45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49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预算公开表7</w:t>
            </w:r>
          </w:p>
        </w:tc>
      </w:tr>
      <w:tr>
        <w:tblPrEx>
          <w:tblCellMar>
            <w:top w:w="0" w:type="dxa"/>
            <w:left w:w="108" w:type="dxa"/>
            <w:bottom w:w="0" w:type="dxa"/>
            <w:right w:w="108" w:type="dxa"/>
          </w:tblCellMar>
        </w:tblPrEx>
        <w:trPr>
          <w:trHeight w:val="720" w:hRule="atLeast"/>
        </w:trPr>
        <w:tc>
          <w:tcPr>
            <w:tcW w:w="0" w:type="auto"/>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default" w:ascii="华文中宋" w:hAnsi="华文中宋" w:eastAsia="华文中宋" w:cs="华文中宋"/>
                <w:b/>
                <w:bCs/>
                <w:i w:val="0"/>
                <w:iCs w:val="0"/>
                <w:color w:val="000000"/>
                <w:kern w:val="0"/>
                <w:sz w:val="32"/>
                <w:szCs w:val="32"/>
                <w:u w:val="none"/>
                <w:bdr w:val="none" w:color="auto" w:sz="0" w:space="0"/>
                <w:lang w:val="en-US" w:eastAsia="zh-CN" w:bidi="ar"/>
              </w:rPr>
              <w:t>2021年政府性基金预算收入表</w:t>
            </w:r>
          </w:p>
        </w:tc>
      </w:tr>
      <w:tr>
        <w:tblPrEx>
          <w:tblCellMar>
            <w:top w:w="0" w:type="dxa"/>
            <w:left w:w="108" w:type="dxa"/>
            <w:bottom w:w="0" w:type="dxa"/>
            <w:right w:w="108" w:type="dxa"/>
          </w:tblCellMar>
        </w:tblPrEx>
        <w:trPr>
          <w:trHeight w:val="345" w:hRule="atLeast"/>
        </w:trPr>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trHeight w:val="51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政府性基金收入预算</w:t>
            </w:r>
          </w:p>
        </w:tc>
      </w:tr>
      <w:tr>
        <w:tblPrEx>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45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tbl>
      <w:tblPr>
        <w:tblW w:w="8760" w:type="dxa"/>
        <w:tblInd w:w="93" w:type="dxa"/>
        <w:shd w:val="clear"/>
        <w:tblLayout w:type="autofit"/>
        <w:tblCellMar>
          <w:top w:w="0" w:type="dxa"/>
          <w:left w:w="108" w:type="dxa"/>
          <w:bottom w:w="0" w:type="dxa"/>
          <w:right w:w="108" w:type="dxa"/>
        </w:tblCellMar>
      </w:tblPr>
      <w:tblGrid>
        <w:gridCol w:w="1180"/>
        <w:gridCol w:w="2565"/>
        <w:gridCol w:w="1560"/>
        <w:gridCol w:w="1635"/>
        <w:gridCol w:w="1860"/>
      </w:tblGrid>
      <w:tr>
        <w:tblPrEx>
          <w:shd w:val="clear"/>
          <w:tblCellMar>
            <w:top w:w="0" w:type="dxa"/>
            <w:left w:w="108" w:type="dxa"/>
            <w:bottom w:w="0" w:type="dxa"/>
            <w:right w:w="108" w:type="dxa"/>
          </w:tblCellMar>
        </w:tblPrEx>
        <w:trPr>
          <w:trHeight w:val="435" w:hRule="atLeast"/>
        </w:trPr>
        <w:tc>
          <w:tcPr>
            <w:tcW w:w="1140"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256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560"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3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860"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预算公开表8</w:t>
            </w:r>
          </w:p>
        </w:tc>
      </w:tr>
      <w:tr>
        <w:tblPrEx>
          <w:tblCellMar>
            <w:top w:w="0" w:type="dxa"/>
            <w:left w:w="108" w:type="dxa"/>
            <w:bottom w:w="0" w:type="dxa"/>
            <w:right w:w="108" w:type="dxa"/>
          </w:tblCellMar>
        </w:tblPrEx>
        <w:trPr>
          <w:trHeight w:val="780" w:hRule="atLeast"/>
        </w:trPr>
        <w:tc>
          <w:tcPr>
            <w:tcW w:w="0" w:type="auto"/>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default" w:ascii="华文中宋" w:hAnsi="华文中宋" w:eastAsia="华文中宋" w:cs="华文中宋"/>
                <w:b/>
                <w:bCs/>
                <w:i w:val="0"/>
                <w:iCs w:val="0"/>
                <w:color w:val="000000"/>
                <w:kern w:val="0"/>
                <w:sz w:val="32"/>
                <w:szCs w:val="32"/>
                <w:u w:val="none"/>
                <w:bdr w:val="none" w:color="auto" w:sz="0" w:space="0"/>
                <w:lang w:val="en-US" w:eastAsia="zh-CN" w:bidi="ar"/>
              </w:rPr>
              <w:t>2021年政府性基金预算支出预算表</w:t>
            </w:r>
          </w:p>
        </w:tc>
      </w:tr>
      <w:tr>
        <w:tblPrEx>
          <w:tblCellMar>
            <w:top w:w="0" w:type="dxa"/>
            <w:left w:w="108" w:type="dxa"/>
            <w:bottom w:w="0" w:type="dxa"/>
            <w:right w:w="108" w:type="dxa"/>
          </w:tblCellMar>
        </w:tblPrEx>
        <w:trPr>
          <w:trHeight w:val="405" w:hRule="atLeast"/>
        </w:trPr>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trHeight w:val="4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50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2021年预算数</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项目支出</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tbl>
      <w:tblPr>
        <w:tblW w:w="8789" w:type="dxa"/>
        <w:tblInd w:w="93" w:type="dxa"/>
        <w:shd w:val="clear"/>
        <w:tblLayout w:type="autofit"/>
        <w:tblCellMar>
          <w:top w:w="0" w:type="dxa"/>
          <w:left w:w="108" w:type="dxa"/>
          <w:bottom w:w="0" w:type="dxa"/>
          <w:right w:w="108" w:type="dxa"/>
        </w:tblCellMar>
      </w:tblPr>
      <w:tblGrid>
        <w:gridCol w:w="4320"/>
        <w:gridCol w:w="4469"/>
      </w:tblGrid>
      <w:tr>
        <w:tblPrEx>
          <w:tblCellMar>
            <w:top w:w="0" w:type="dxa"/>
            <w:left w:w="108" w:type="dxa"/>
            <w:bottom w:w="0" w:type="dxa"/>
            <w:right w:w="108" w:type="dxa"/>
          </w:tblCellMar>
        </w:tblPrEx>
        <w:trPr>
          <w:trHeight w:val="315" w:hRule="atLeast"/>
        </w:trPr>
        <w:tc>
          <w:tcPr>
            <w:tcW w:w="4320" w:type="dxa"/>
            <w:tcBorders>
              <w:top w:val="nil"/>
              <w:left w:val="nil"/>
              <w:bottom w:val="nil"/>
              <w:right w:val="nil"/>
            </w:tcBorders>
            <w:shd w:val="clear"/>
            <w:noWrap/>
            <w:vAlign w:val="bottom"/>
          </w:tcPr>
          <w:p>
            <w:pPr>
              <w:rPr>
                <w:rFonts w:hint="eastAsia" w:ascii="宋体" w:hAnsi="宋体" w:eastAsia="宋体" w:cs="宋体"/>
                <w:i w:val="0"/>
                <w:iCs w:val="0"/>
                <w:color w:val="000000"/>
                <w:sz w:val="22"/>
                <w:szCs w:val="22"/>
                <w:u w:val="none"/>
              </w:rPr>
            </w:pPr>
          </w:p>
        </w:tc>
        <w:tc>
          <w:tcPr>
            <w:tcW w:w="4469"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预算公开表9</w:t>
            </w:r>
          </w:p>
        </w:tc>
      </w:tr>
      <w:tr>
        <w:tblPrEx>
          <w:tblCellMar>
            <w:top w:w="0" w:type="dxa"/>
            <w:left w:w="108" w:type="dxa"/>
            <w:bottom w:w="0" w:type="dxa"/>
            <w:right w:w="108" w:type="dxa"/>
          </w:tblCellMar>
        </w:tblPrEx>
        <w:trPr>
          <w:trHeight w:val="810" w:hRule="atLeast"/>
        </w:trPr>
        <w:tc>
          <w:tcPr>
            <w:tcW w:w="8789" w:type="dxa"/>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default" w:ascii="华文中宋" w:hAnsi="华文中宋" w:eastAsia="华文中宋" w:cs="华文中宋"/>
                <w:b/>
                <w:bCs/>
                <w:i w:val="0"/>
                <w:iCs w:val="0"/>
                <w:color w:val="000000"/>
                <w:kern w:val="0"/>
                <w:sz w:val="32"/>
                <w:szCs w:val="32"/>
                <w:u w:val="none"/>
                <w:bdr w:val="none" w:color="auto" w:sz="0" w:space="0"/>
                <w:lang w:val="en-US" w:eastAsia="zh-CN" w:bidi="ar"/>
              </w:rPr>
              <w:t>2021年一般公共预算“三公”经费支出情况统计表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rPr>
                <w:rFonts w:hint="eastAsia" w:ascii="宋体" w:hAnsi="宋体" w:eastAsia="宋体" w:cs="宋体"/>
                <w:i w:val="0"/>
                <w:iCs w:val="0"/>
                <w:color w:val="000000"/>
                <w:sz w:val="22"/>
                <w:szCs w:val="22"/>
                <w:u w:val="none"/>
              </w:rPr>
            </w:pPr>
          </w:p>
        </w:tc>
        <w:tc>
          <w:tcPr>
            <w:tcW w:w="4469"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w:t>
            </w:r>
          </w:p>
        </w:tc>
        <w:tc>
          <w:tcPr>
            <w:tcW w:w="446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2021年预算数</w:t>
            </w: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因公出国（境）费</w:t>
            </w:r>
          </w:p>
        </w:tc>
        <w:tc>
          <w:tcPr>
            <w:tcW w:w="44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公务接待费</w:t>
            </w:r>
          </w:p>
        </w:tc>
        <w:tc>
          <w:tcPr>
            <w:tcW w:w="44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公务用车购置及运行费</w:t>
            </w:r>
          </w:p>
        </w:tc>
        <w:tc>
          <w:tcPr>
            <w:tcW w:w="44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①公务用车购置费</w:t>
            </w:r>
          </w:p>
        </w:tc>
        <w:tc>
          <w:tcPr>
            <w:tcW w:w="44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②公务用车运行维护费</w:t>
            </w:r>
          </w:p>
        </w:tc>
        <w:tc>
          <w:tcPr>
            <w:tcW w:w="44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446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tbl>
      <w:tblPr>
        <w:tblW w:w="8774" w:type="dxa"/>
        <w:tblInd w:w="93" w:type="dxa"/>
        <w:shd w:val="clear"/>
        <w:tblLayout w:type="autofit"/>
        <w:tblCellMar>
          <w:top w:w="0" w:type="dxa"/>
          <w:left w:w="108" w:type="dxa"/>
          <w:bottom w:w="0" w:type="dxa"/>
          <w:right w:w="108" w:type="dxa"/>
        </w:tblCellMar>
      </w:tblPr>
      <w:tblGrid>
        <w:gridCol w:w="2136"/>
        <w:gridCol w:w="936"/>
        <w:gridCol w:w="1848"/>
        <w:gridCol w:w="1008"/>
        <w:gridCol w:w="936"/>
        <w:gridCol w:w="1421"/>
        <w:gridCol w:w="489"/>
      </w:tblGrid>
      <w:tr>
        <w:tblPrEx>
          <w:tblCellMar>
            <w:top w:w="0" w:type="dxa"/>
            <w:left w:w="108" w:type="dxa"/>
            <w:bottom w:w="0" w:type="dxa"/>
            <w:right w:w="108" w:type="dxa"/>
          </w:tblCellMar>
        </w:tblPrEx>
        <w:trPr>
          <w:gridAfter w:val="1"/>
          <w:wAfter w:w="489" w:type="dxa"/>
          <w:trHeight w:val="300" w:hRule="atLeast"/>
        </w:trPr>
        <w:tc>
          <w:tcPr>
            <w:tcW w:w="2136"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936"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856" w:type="dxa"/>
            <w:gridSpan w:val="2"/>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36"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421"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tblCellMar>
            <w:top w:w="0" w:type="dxa"/>
            <w:left w:w="108" w:type="dxa"/>
            <w:bottom w:w="0" w:type="dxa"/>
            <w:right w:w="108" w:type="dxa"/>
          </w:tblCellMar>
        </w:tblPrEx>
        <w:trPr>
          <w:gridAfter w:val="1"/>
          <w:wAfter w:w="489" w:type="dxa"/>
          <w:trHeight w:val="300" w:hRule="atLeast"/>
        </w:trPr>
        <w:tc>
          <w:tcPr>
            <w:tcW w:w="2136" w:type="dxa"/>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936" w:type="dxa"/>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2856" w:type="dxa"/>
            <w:gridSpan w:val="2"/>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936" w:type="dxa"/>
            <w:tcBorders>
              <w:top w:val="nil"/>
              <w:left w:val="nil"/>
              <w:bottom w:val="nil"/>
              <w:right w:val="nil"/>
            </w:tcBorders>
            <w:shd w:val="clear"/>
            <w:noWrap/>
            <w:vAlign w:val="bottom"/>
          </w:tcPr>
          <w:p>
            <w:pPr>
              <w:rPr>
                <w:rFonts w:hint="eastAsia" w:ascii="宋体" w:hAnsi="宋体" w:eastAsia="宋体" w:cs="宋体"/>
                <w:i w:val="0"/>
                <w:iCs w:val="0"/>
                <w:color w:val="000000"/>
                <w:sz w:val="20"/>
                <w:szCs w:val="20"/>
                <w:u w:val="none"/>
              </w:rPr>
            </w:pPr>
          </w:p>
        </w:tc>
        <w:tc>
          <w:tcPr>
            <w:tcW w:w="1421"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20" w:hRule="atLeast"/>
        </w:trPr>
        <w:tc>
          <w:tcPr>
            <w:tcW w:w="4920" w:type="dxa"/>
            <w:gridSpan w:val="3"/>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3854" w:type="dxa"/>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预算公开表10</w:t>
            </w:r>
          </w:p>
        </w:tc>
      </w:tr>
      <w:tr>
        <w:tblPrEx>
          <w:shd w:val="clear"/>
          <w:tblCellMar>
            <w:top w:w="0" w:type="dxa"/>
            <w:left w:w="108" w:type="dxa"/>
            <w:bottom w:w="0" w:type="dxa"/>
            <w:right w:w="108" w:type="dxa"/>
          </w:tblCellMar>
        </w:tblPrEx>
        <w:trPr>
          <w:trHeight w:val="765" w:hRule="atLeast"/>
        </w:trPr>
        <w:tc>
          <w:tcPr>
            <w:tcW w:w="8774" w:type="dxa"/>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2"/>
                <w:szCs w:val="32"/>
                <w:u w:val="none"/>
              </w:rPr>
            </w:pPr>
            <w:r>
              <w:rPr>
                <w:rFonts w:hint="default" w:ascii="华文中宋" w:hAnsi="华文中宋" w:eastAsia="华文中宋" w:cs="华文中宋"/>
                <w:b/>
                <w:bCs/>
                <w:i w:val="0"/>
                <w:iCs w:val="0"/>
                <w:color w:val="000000"/>
                <w:kern w:val="0"/>
                <w:sz w:val="32"/>
                <w:szCs w:val="32"/>
                <w:u w:val="none"/>
                <w:bdr w:val="none" w:color="auto" w:sz="0" w:space="0"/>
                <w:lang w:val="en-US" w:eastAsia="zh-CN" w:bidi="ar"/>
              </w:rPr>
              <w:t>2021年机关运行经费预算财政拨款情况统计表</w:t>
            </w:r>
          </w:p>
        </w:tc>
      </w:tr>
      <w:tr>
        <w:tblPrEx>
          <w:tblCellMar>
            <w:top w:w="0" w:type="dxa"/>
            <w:left w:w="108" w:type="dxa"/>
            <w:bottom w:w="0" w:type="dxa"/>
            <w:right w:w="108" w:type="dxa"/>
          </w:tblCellMar>
        </w:tblPrEx>
        <w:trPr>
          <w:trHeight w:val="375" w:hRule="atLeast"/>
        </w:trPr>
        <w:tc>
          <w:tcPr>
            <w:tcW w:w="4920" w:type="dxa"/>
            <w:gridSpan w:val="3"/>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854" w:type="dxa"/>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CellMar>
            <w:top w:w="0" w:type="dxa"/>
            <w:left w:w="108" w:type="dxa"/>
            <w:bottom w:w="0" w:type="dxa"/>
            <w:right w:w="108" w:type="dxa"/>
          </w:tblCellMar>
        </w:tblPrEx>
        <w:trPr>
          <w:trHeight w:val="510" w:hRule="atLeast"/>
        </w:trPr>
        <w:tc>
          <w:tcPr>
            <w:tcW w:w="492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单位名称</w:t>
            </w:r>
          </w:p>
        </w:tc>
        <w:tc>
          <w:tcPr>
            <w:tcW w:w="3854"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2021年预算数</w:t>
            </w:r>
          </w:p>
        </w:tc>
      </w:tr>
      <w:tr>
        <w:tblPrEx>
          <w:tblCellMar>
            <w:top w:w="0" w:type="dxa"/>
            <w:left w:w="108" w:type="dxa"/>
            <w:bottom w:w="0" w:type="dxa"/>
            <w:right w:w="108" w:type="dxa"/>
          </w:tblCellMar>
        </w:tblPrEx>
        <w:trPr>
          <w:trHeight w:val="510" w:hRule="atLeast"/>
        </w:trPr>
        <w:tc>
          <w:tcPr>
            <w:tcW w:w="492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3854" w:type="dxa"/>
            <w:gridSpan w:val="4"/>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40" w:lineRule="exact"/>
        <w:ind w:firstLine="4800" w:firstLineChars="15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简体" w:hAnsi="方正黑体简体" w:eastAsia="方正黑体简体" w:cs="方正黑体简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三、202</w:t>
      </w:r>
      <w:r>
        <w:rPr>
          <w:rFonts w:hint="eastAsia" w:ascii="方正黑体简体" w:hAnsi="方正黑体简体" w:eastAsia="方正黑体简体" w:cs="方正黑体简体"/>
          <w:sz w:val="32"/>
          <w:szCs w:val="32"/>
          <w:lang w:val="en-US" w:eastAsia="zh-CN"/>
        </w:rPr>
        <w:t>1</w:t>
      </w:r>
      <w:r>
        <w:rPr>
          <w:rFonts w:hint="eastAsia" w:ascii="方正黑体简体" w:hAnsi="方正黑体简体" w:eastAsia="方正黑体简体" w:cs="方正黑体简体"/>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楷体简体" w:hAnsi="方正楷体简体" w:eastAsia="方正楷体简体" w:cs="方正楷体简体"/>
          <w:sz w:val="32"/>
          <w:szCs w:val="32"/>
        </w:rPr>
      </w:pPr>
      <w:r>
        <w:rPr>
          <w:rFonts w:hint="eastAsia" w:ascii="仿宋_GB2312" w:hAnsi="仿宋_GB2312" w:eastAsia="仿宋_GB2312" w:cs="仿宋_GB2312"/>
          <w:sz w:val="32"/>
          <w:szCs w:val="32"/>
        </w:rPr>
        <w:t xml:space="preserve">    </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202</w:t>
      </w:r>
      <w:r>
        <w:rPr>
          <w:rFonts w:hint="eastAsia" w:ascii="方正楷体简体" w:hAnsi="方正楷体简体" w:eastAsia="方正楷体简体" w:cs="方正楷体简体"/>
          <w:sz w:val="32"/>
          <w:szCs w:val="32"/>
          <w:lang w:val="en-US" w:eastAsia="zh-CN"/>
        </w:rPr>
        <w:t>1</w:t>
      </w:r>
      <w:r>
        <w:rPr>
          <w:rFonts w:hint="eastAsia" w:ascii="方正楷体简体" w:hAnsi="方正楷体简体" w:eastAsia="方正楷体简体" w:cs="方正楷体简体"/>
          <w:sz w:val="32"/>
          <w:szCs w:val="32"/>
        </w:rPr>
        <w:t>年度部门预算情况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sz w:val="32"/>
          <w:szCs w:val="32"/>
        </w:rPr>
        <w:t>朔州市医疗废物处理中心</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部门预算支出</w:t>
      </w:r>
      <w:r>
        <w:rPr>
          <w:rFonts w:hint="eastAsia" w:ascii="仿宋_GB2312" w:hAnsi="仿宋_GB2312" w:eastAsia="仿宋_GB2312" w:cs="仿宋_GB2312"/>
          <w:sz w:val="32"/>
          <w:szCs w:val="32"/>
          <w:lang w:val="en-US" w:eastAsia="zh-CN"/>
        </w:rPr>
        <w:t>412.61</w:t>
      </w:r>
      <w:r>
        <w:rPr>
          <w:rFonts w:hint="eastAsia" w:ascii="仿宋_GB2312" w:hAnsi="仿宋_GB2312" w:eastAsia="仿宋_GB2312" w:cs="仿宋_GB2312"/>
          <w:sz w:val="32"/>
          <w:szCs w:val="32"/>
        </w:rPr>
        <w:t>万元,全部为经费拨款。预算支出按功能分类,节能环保支出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i w:val="0"/>
          <w:color w:val="000000"/>
          <w:kern w:val="0"/>
          <w:sz w:val="32"/>
          <w:szCs w:val="32"/>
          <w:u w:val="none"/>
          <w:lang w:val="en-US" w:eastAsia="zh-CN" w:bidi="ar"/>
        </w:rPr>
        <w:t>412.61</w:t>
      </w:r>
      <w:r>
        <w:rPr>
          <w:rFonts w:hint="eastAsia" w:ascii="仿宋_GB2312" w:hAnsi="仿宋_GB2312" w:eastAsia="仿宋_GB2312" w:cs="仿宋_GB2312"/>
          <w:sz w:val="32"/>
          <w:szCs w:val="32"/>
        </w:rPr>
        <w:t>万元。预算支出按经济分类:工资和福利支出</w:t>
      </w:r>
      <w:r>
        <w:rPr>
          <w:rFonts w:hint="eastAsia" w:ascii="仿宋_GB2312" w:hAnsi="仿宋_GB2312" w:eastAsia="仿宋_GB2312" w:cs="仿宋_GB2312"/>
          <w:sz w:val="32"/>
          <w:szCs w:val="32"/>
          <w:lang w:val="en-US" w:eastAsia="zh-CN"/>
        </w:rPr>
        <w:t>127</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82.61</w:t>
      </w:r>
      <w:r>
        <w:rPr>
          <w:rFonts w:hint="eastAsia" w:ascii="仿宋_GB2312" w:hAnsi="仿宋_GB2312" w:eastAsia="仿宋_GB2312" w:cs="仿宋_GB2312"/>
          <w:sz w:val="32"/>
          <w:szCs w:val="32"/>
        </w:rPr>
        <w:t xml:space="preserve">万元。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lang w:eastAsia="zh-CN"/>
        </w:rPr>
        <w:t>（二）“三公”经费增减变动原因说明</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（三）</w:t>
      </w:r>
      <w:r>
        <w:rPr>
          <w:rFonts w:hint="eastAsia" w:ascii="方正楷体简体" w:hAnsi="方正楷体简体" w:eastAsia="方正楷体简体" w:cs="方正楷体简体"/>
          <w:sz w:val="32"/>
          <w:szCs w:val="32"/>
        </w:rPr>
        <w:t>机关运行经费增减变动原因说明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年朔州市医疗废物处理中心运行经费</w:t>
      </w:r>
      <w:r>
        <w:rPr>
          <w:rFonts w:hint="eastAsia" w:ascii="仿宋_GB2312" w:hAnsi="仿宋_GB2312" w:eastAsia="仿宋_GB2312" w:cs="仿宋_GB2312"/>
          <w:sz w:val="32"/>
          <w:szCs w:val="32"/>
          <w:lang w:val="en-US" w:eastAsia="zh-CN"/>
        </w:rPr>
        <w:t>无增减。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四</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政府采购情况</w:t>
      </w:r>
    </w:p>
    <w:p>
      <w:pPr>
        <w:keepNext w:val="0"/>
        <w:keepLines w:val="0"/>
        <w:pageBreakBefore w:val="0"/>
        <w:widowControl w:val="0"/>
        <w:kinsoku/>
        <w:wordWrap/>
        <w:overflowPunct/>
        <w:topLinePunct w:val="0"/>
        <w:autoSpaceDE/>
        <w:autoSpaceDN/>
        <w:bidi w:val="0"/>
        <w:adjustRightInd/>
        <w:snapToGrid/>
        <w:spacing w:line="640" w:lineRule="exact"/>
        <w:ind w:firstLine="960" w:firstLineChars="300"/>
        <w:jc w:val="both"/>
        <w:textAlignment w:val="auto"/>
        <w:rPr>
          <w:rFonts w:hint="eastAsia" w:ascii="方正楷体简体" w:hAnsi="方正楷体简体" w:eastAsia="方正楷体简体" w:cs="方正楷体简体"/>
          <w:sz w:val="32"/>
          <w:szCs w:val="32"/>
        </w:rPr>
      </w:pP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 xml:space="preserve">   </w:t>
      </w:r>
      <w:r>
        <w:rPr>
          <w:rFonts w:hint="eastAsia" w:ascii="方正楷体简体" w:hAnsi="方正楷体简体" w:eastAsia="方正楷体简体" w:cs="方正楷体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五</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绩效管理情况</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年朔州市医疗废物处理中心无实行绩效目标管理的项目。</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楷体简体" w:hAnsi="方正楷体简体" w:eastAsia="方正楷体简体" w:cs="方正楷体简体"/>
          <w:sz w:val="32"/>
          <w:szCs w:val="32"/>
        </w:rPr>
      </w:pPr>
      <w:r>
        <w:rPr>
          <w:rFonts w:hint="eastAsia" w:ascii="仿宋_GB2312" w:hAnsi="仿宋_GB2312" w:eastAsia="仿宋_GB2312" w:cs="仿宋_GB2312"/>
          <w:sz w:val="32"/>
          <w:szCs w:val="32"/>
        </w:rPr>
        <w:t xml:space="preserve">  </w:t>
      </w:r>
      <w:r>
        <w:rPr>
          <w:rFonts w:hint="eastAsia" w:ascii="方正楷体简体" w:hAnsi="方正楷体简体" w:eastAsia="方正楷体简体" w:cs="方正楷体简体"/>
          <w:sz w:val="32"/>
          <w:szCs w:val="32"/>
        </w:rPr>
        <w:t xml:space="preserve">  </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六</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国有资产占有使用情况</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本部门自有办公用房,坐落于朔州市朔城区新安庄村东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楷体简体" w:hAnsi="方正楷体简体" w:eastAsia="方正楷体简体" w:cs="方正楷体简体"/>
          <w:sz w:val="32"/>
          <w:szCs w:val="32"/>
        </w:rPr>
      </w:pPr>
      <w:r>
        <w:rPr>
          <w:rFonts w:hint="eastAsia" w:ascii="仿宋_GB2312" w:hAnsi="仿宋_GB2312" w:eastAsia="仿宋_GB2312" w:cs="仿宋_GB2312"/>
          <w:sz w:val="32"/>
          <w:szCs w:val="32"/>
        </w:rPr>
        <w:t xml:space="preserve">   </w:t>
      </w:r>
      <w:r>
        <w:rPr>
          <w:rFonts w:hint="eastAsia" w:ascii="方正楷体简体" w:hAnsi="方正楷体简体" w:eastAsia="方正楷体简体" w:cs="方正楷体简体"/>
          <w:sz w:val="32"/>
          <w:szCs w:val="32"/>
        </w:rPr>
        <w:t xml:space="preserve"> </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七</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其他说明</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政府购买服务指导性目录</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56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56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黑体简体" w:hAnsi="方正黑体简体" w:eastAsia="方正黑体简体" w:cs="方正黑体简体"/>
          <w:sz w:val="32"/>
          <w:szCs w:val="32"/>
        </w:rPr>
      </w:pPr>
      <w:r>
        <w:rPr>
          <w:rFonts w:hint="eastAsia" w:ascii="仿宋_GB2312" w:hAnsi="仿宋_GB2312" w:eastAsia="仿宋_GB2312" w:cs="仿宋_GB2312"/>
          <w:sz w:val="32"/>
          <w:szCs w:val="32"/>
        </w:rPr>
        <w:t xml:space="preserve">  </w:t>
      </w:r>
      <w:r>
        <w:rPr>
          <w:rFonts w:hint="eastAsia" w:ascii="方正黑体简体" w:hAnsi="方正黑体简体" w:eastAsia="方正黑体简体" w:cs="方正黑体简体"/>
          <w:sz w:val="32"/>
          <w:szCs w:val="32"/>
        </w:rPr>
        <w:t xml:space="preserve">  四、名词解释</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sz w:val="32"/>
          <w:szCs w:val="32"/>
          <w:lang w:eastAsia="zh-CN"/>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基本支出:</w:t>
      </w:r>
      <w:r>
        <w:rPr>
          <w:rFonts w:hint="eastAsia" w:ascii="仿宋_GB2312" w:hAnsi="仿宋_GB2312" w:eastAsia="仿宋_GB2312" w:cs="仿宋_GB2312"/>
          <w:sz w:val="32"/>
          <w:szCs w:val="32"/>
        </w:rPr>
        <w:t>指为保障机构正常运转,完成日常工作任务而发生的人员支出和公用支出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sz w:val="32"/>
          <w:szCs w:val="32"/>
          <w:lang w:eastAsia="zh-CN"/>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二</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项目支出:</w:t>
      </w:r>
      <w:r>
        <w:rPr>
          <w:rFonts w:hint="eastAsia" w:ascii="仿宋_GB2312" w:hAnsi="仿宋_GB2312" w:eastAsia="仿宋_GB2312" w:cs="仿宋_GB2312"/>
          <w:sz w:val="32"/>
          <w:szCs w:val="32"/>
        </w:rPr>
        <w:t>指在基本支出之外为完成特定行政任务和事业发展目标所发生的支出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三</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“三公”经费:</w:t>
      </w:r>
      <w:r>
        <w:rPr>
          <w:rFonts w:hint="eastAsia" w:ascii="仿宋_GB2312" w:hAnsi="仿宋_GB2312" w:eastAsia="仿宋_GB2312" w:cs="仿宋_GB2312"/>
          <w:sz w:val="32"/>
          <w:szCs w:val="32"/>
        </w:rPr>
        <w:t>指用一般公共预算安排的因公出国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费、公务用车购置及运行和公务接待费。其中,因公出国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费反映单位公务出国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费的国际旅费、国外城市间交通费、住宿费、伙食费、培训费、公杂费等支出;公务用车购置反映公务用车车辆购置支出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含车辆购置税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;公务用车运行维护费反映单位按规定保留的公务用车燃料费、维修费、过路过桥费、保险费、安全奖励费用等支出;公务接待费反映单位按规定开支的各类公务接待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含外宾接待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四</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机关运行经费:</w:t>
      </w:r>
      <w:r>
        <w:rPr>
          <w:rFonts w:hint="eastAsia" w:ascii="仿宋_GB2312" w:hAnsi="仿宋_GB2312" w:eastAsia="仿宋_GB2312" w:cs="仿宋_GB2312"/>
          <w:sz w:val="32"/>
          <w:szCs w:val="32"/>
        </w:rPr>
        <w:t>指行政单位和参照公务员法管理的事业单位使用一般公共预算安排的基本支出中的日常公用经费支出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五</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政府购买服务:</w:t>
      </w:r>
      <w:r>
        <w:rPr>
          <w:rFonts w:hint="eastAsia" w:ascii="仿宋_GB2312" w:hAnsi="仿宋_GB2312" w:eastAsia="仿宋_GB2312" w:cs="仿宋_GB2312"/>
          <w:sz w:val="32"/>
          <w:szCs w:val="32"/>
        </w:rPr>
        <w:t>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keepNext w:val="0"/>
        <w:keepLines w:val="0"/>
        <w:pageBreakBefore w:val="0"/>
        <w:widowControl w:val="0"/>
        <w:kinsoku/>
        <w:wordWrap/>
        <w:overflowPunct/>
        <w:topLinePunct w:val="0"/>
        <w:autoSpaceDE/>
        <w:autoSpaceDN/>
        <w:bidi w:val="0"/>
        <w:adjustRightInd/>
        <w:snapToGrid/>
        <w:spacing w:line="640" w:lineRule="exact"/>
        <w:ind w:left="4200" w:hanging="4800" w:hanging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4200" w:hanging="4800" w:hanging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4200" w:hanging="4800" w:hangingChars="15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4790" w:leftChars="1824" w:hanging="960" w:hanging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朔州市医疗废物处理中心</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ind w:firstLine="4800" w:firstLineChars="15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4800" w:firstLineChars="15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4800" w:firstLineChars="15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4800" w:firstLineChars="15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宋体">
    <w:altName w:val="宋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28FDD"/>
    <w:multiLevelType w:val="singleLevel"/>
    <w:tmpl w:val="BAD28FDD"/>
    <w:lvl w:ilvl="0" w:tentative="0">
      <w:start w:val="1"/>
      <w:numFmt w:val="decimal"/>
      <w:suff w:val="nothing"/>
      <w:lvlText w:val="（%1）"/>
      <w:lvlJc w:val="left"/>
    </w:lvl>
  </w:abstractNum>
  <w:abstractNum w:abstractNumId="1">
    <w:nsid w:val="50D6CFC1"/>
    <w:multiLevelType w:val="singleLevel"/>
    <w:tmpl w:val="50D6CFC1"/>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1230D"/>
    <w:rsid w:val="05AE1D0D"/>
    <w:rsid w:val="05DA36BA"/>
    <w:rsid w:val="07BC1B3C"/>
    <w:rsid w:val="08262757"/>
    <w:rsid w:val="0C911A1D"/>
    <w:rsid w:val="0E685EF2"/>
    <w:rsid w:val="0FED59B6"/>
    <w:rsid w:val="11E17A1A"/>
    <w:rsid w:val="129B229E"/>
    <w:rsid w:val="16C9011E"/>
    <w:rsid w:val="209C52C0"/>
    <w:rsid w:val="20D94031"/>
    <w:rsid w:val="217E6878"/>
    <w:rsid w:val="25794D5F"/>
    <w:rsid w:val="28A830F7"/>
    <w:rsid w:val="2BD1230D"/>
    <w:rsid w:val="2F493D1B"/>
    <w:rsid w:val="2F4A3B4D"/>
    <w:rsid w:val="2F7B3E5F"/>
    <w:rsid w:val="3C1D0C45"/>
    <w:rsid w:val="4001206F"/>
    <w:rsid w:val="40C7415E"/>
    <w:rsid w:val="44700515"/>
    <w:rsid w:val="47647892"/>
    <w:rsid w:val="488004B7"/>
    <w:rsid w:val="4A497B40"/>
    <w:rsid w:val="4B843A81"/>
    <w:rsid w:val="4C781690"/>
    <w:rsid w:val="526D7245"/>
    <w:rsid w:val="5D4E648F"/>
    <w:rsid w:val="5ED43354"/>
    <w:rsid w:val="6291332B"/>
    <w:rsid w:val="68040CDB"/>
    <w:rsid w:val="69493ED2"/>
    <w:rsid w:val="6A9A72A2"/>
    <w:rsid w:val="6AB80241"/>
    <w:rsid w:val="6E3E0DEA"/>
    <w:rsid w:val="70C622A3"/>
    <w:rsid w:val="7299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17"/>
    <w:basedOn w:val="5"/>
    <w:uiPriority w:val="0"/>
    <w:rPr>
      <w:rFonts w:hint="default" w:ascii="Times New Roman" w:hAnsi="Times New Roman" w:eastAsia="楷体_GB2312" w:cs="楷体_GB2312"/>
      <w:sz w:val="28"/>
      <w:szCs w:val="28"/>
    </w:rPr>
  </w:style>
  <w:style w:type="character" w:customStyle="1" w:styleId="7">
    <w:name w:val="NormalCharacter"/>
    <w:qFormat/>
    <w:uiPriority w:val="0"/>
  </w:style>
  <w:style w:type="character" w:customStyle="1" w:styleId="8">
    <w:name w:val="19"/>
    <w:basedOn w:val="5"/>
    <w:uiPriority w:val="0"/>
    <w:rPr>
      <w:rFonts w:hint="default" w:ascii="Times New Roman" w:hAnsi="Times New Roman" w:eastAsia="楷体_GB2312" w:cs="楷体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4963</Words>
  <Characters>5484</Characters>
  <Lines>0</Lines>
  <Paragraphs>0</Paragraphs>
  <TotalTime>0</TotalTime>
  <ScaleCrop>false</ScaleCrop>
  <LinksUpToDate>false</LinksUpToDate>
  <CharactersWithSpaces>5680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2021-03-24T09:35:00Z</dcterms:created>
  <dc:creator>云水芙蓉</dc:creator>
  <cp:lastModifiedBy>Administrator</cp:lastModifiedBy>
  <dcterms:modified xsi:type="dcterms:W3CDTF">2021-04-06T07:10:50Z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06F5E11C5A7342CFB12F17A4FBD3D4E1</vt:lpwstr>
  </property>
  <property fmtid="{D5CDD505-2E9C-101B-9397-08002B2CF9AE}" pid="4" name="KSOSaveFontToCloudKey">
    <vt:lpwstr>659316462_btnclosed</vt:lpwstr>
  </property>
</Properties>
</file>