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5D" w:rsidRPr="000E0A6A" w:rsidRDefault="00D51A82" w:rsidP="00D51A82">
      <w:pPr>
        <w:widowControl/>
        <w:spacing w:afterLines="50" w:after="156" w:line="480" w:lineRule="auto"/>
        <w:ind w:firstLineChars="0" w:firstLine="0"/>
        <w:jc w:val="center"/>
        <w:rPr>
          <w:rFonts w:ascii="方正小标宋简体" w:eastAsia="方正小标宋简体" w:cs="Times New Roman" w:hint="eastAsia"/>
          <w:sz w:val="20"/>
          <w:szCs w:val="20"/>
        </w:rPr>
      </w:pPr>
      <w:bookmarkStart w:id="0" w:name="_Toc19344"/>
      <w:bookmarkStart w:id="1" w:name="_Toc22561"/>
      <w:bookmarkStart w:id="2" w:name="_Toc5892"/>
      <w:bookmarkStart w:id="3" w:name="_Toc30746"/>
      <w:bookmarkStart w:id="4" w:name="_GoBack"/>
      <w:r w:rsidRPr="000E0A6A">
        <w:rPr>
          <w:rFonts w:ascii="方正小标宋简体" w:eastAsia="方正小标宋简体" w:cs="Times New Roman" w:hint="eastAsia"/>
          <w:color w:val="000000"/>
          <w:kern w:val="0"/>
          <w:sz w:val="44"/>
          <w:szCs w:val="44"/>
          <w:lang w:bidi="ar"/>
        </w:rPr>
        <w:t>应县土壤污染治理与修复成效评估报告</w:t>
      </w:r>
    </w:p>
    <w:bookmarkEnd w:id="4"/>
    <w:p w:rsidR="00E8215D" w:rsidRDefault="00D51A82" w:rsidP="00D51A82">
      <w:pPr>
        <w:widowControl/>
        <w:spacing w:afterLines="50" w:after="156"/>
        <w:ind w:firstLine="560"/>
        <w:jc w:val="left"/>
        <w:rPr>
          <w:rFonts w:cs="Times New Roman"/>
          <w:sz w:val="28"/>
          <w:szCs w:val="28"/>
        </w:rPr>
      </w:pPr>
      <w:r>
        <w:rPr>
          <w:rFonts w:cs="Times New Roman"/>
          <w:color w:val="000000"/>
          <w:kern w:val="0"/>
          <w:sz w:val="28"/>
          <w:szCs w:val="28"/>
          <w:lang w:bidi="ar"/>
        </w:rPr>
        <w:t>为推动落实《土壤污染防治行动计划》（国发</w:t>
      </w:r>
      <w:r>
        <w:rPr>
          <w:rFonts w:cs="Times New Roman"/>
          <w:color w:val="000000"/>
          <w:kern w:val="0"/>
          <w:sz w:val="28"/>
          <w:szCs w:val="28"/>
          <w:lang w:bidi="ar"/>
        </w:rPr>
        <w:t xml:space="preserve">[2016]31 </w:t>
      </w:r>
      <w:r>
        <w:rPr>
          <w:rFonts w:cs="Times New Roman"/>
          <w:color w:val="000000"/>
          <w:kern w:val="0"/>
          <w:sz w:val="28"/>
          <w:szCs w:val="28"/>
          <w:lang w:bidi="ar"/>
        </w:rPr>
        <w:t>号）、《山西省土壤污染防治工作方案》（晋政发</w:t>
      </w:r>
      <w:r>
        <w:rPr>
          <w:rFonts w:cs="Times New Roman"/>
          <w:color w:val="000000"/>
          <w:kern w:val="0"/>
          <w:sz w:val="28"/>
          <w:szCs w:val="28"/>
          <w:lang w:bidi="ar"/>
        </w:rPr>
        <w:t>[2016]69</w:t>
      </w:r>
      <w:r>
        <w:rPr>
          <w:rFonts w:cs="Times New Roman"/>
          <w:color w:val="000000"/>
          <w:kern w:val="0"/>
          <w:sz w:val="28"/>
          <w:szCs w:val="28"/>
          <w:lang w:bidi="ar"/>
        </w:rPr>
        <w:t>号）、《朔州市土壤污染防治工作方案》（</w:t>
      </w:r>
      <w:proofErr w:type="gramStart"/>
      <w:r>
        <w:rPr>
          <w:rFonts w:cs="Times New Roman"/>
          <w:color w:val="000000"/>
          <w:kern w:val="0"/>
          <w:sz w:val="28"/>
          <w:szCs w:val="28"/>
          <w:lang w:bidi="ar"/>
        </w:rPr>
        <w:t>朔政发</w:t>
      </w:r>
      <w:proofErr w:type="gramEnd"/>
      <w:r>
        <w:rPr>
          <w:rFonts w:cs="Times New Roman"/>
          <w:color w:val="000000"/>
          <w:kern w:val="0"/>
          <w:sz w:val="28"/>
          <w:szCs w:val="28"/>
          <w:lang w:bidi="ar"/>
        </w:rPr>
        <w:t xml:space="preserve">[2017]19 </w:t>
      </w:r>
      <w:r>
        <w:rPr>
          <w:rFonts w:cs="Times New Roman"/>
          <w:color w:val="000000"/>
          <w:kern w:val="0"/>
          <w:sz w:val="28"/>
          <w:szCs w:val="28"/>
          <w:lang w:bidi="ar"/>
        </w:rPr>
        <w:t>号）目标和任务，加强朔州市各县（市、区）土壤环境保护，朔州市生态环境局按照《关于开展土壤污染治理与修复成效评估工作的通知》（</w:t>
      </w:r>
      <w:proofErr w:type="gramStart"/>
      <w:r>
        <w:rPr>
          <w:rFonts w:cs="Times New Roman"/>
          <w:color w:val="000000"/>
          <w:kern w:val="0"/>
          <w:sz w:val="28"/>
          <w:szCs w:val="28"/>
          <w:lang w:bidi="ar"/>
        </w:rPr>
        <w:t>晋环土壤</w:t>
      </w:r>
      <w:proofErr w:type="gramEnd"/>
      <w:r>
        <w:rPr>
          <w:rFonts w:cs="Times New Roman"/>
          <w:color w:val="000000"/>
          <w:kern w:val="0"/>
          <w:sz w:val="28"/>
          <w:szCs w:val="28"/>
          <w:lang w:bidi="ar"/>
        </w:rPr>
        <w:t>函</w:t>
      </w:r>
      <w:r>
        <w:rPr>
          <w:rFonts w:cs="Times New Roman"/>
          <w:color w:val="000000"/>
          <w:kern w:val="0"/>
          <w:sz w:val="28"/>
          <w:szCs w:val="28"/>
          <w:lang w:bidi="ar"/>
        </w:rPr>
        <w:t>[2020]234</w:t>
      </w:r>
      <w:r>
        <w:rPr>
          <w:rFonts w:cs="Times New Roman"/>
          <w:color w:val="000000"/>
          <w:kern w:val="0"/>
          <w:sz w:val="28"/>
          <w:szCs w:val="28"/>
          <w:lang w:bidi="ar"/>
        </w:rPr>
        <w:t>号）等相关文件要求，对</w:t>
      </w:r>
      <w:r>
        <w:rPr>
          <w:rFonts w:cs="Times New Roman" w:hint="eastAsia"/>
          <w:color w:val="000000"/>
          <w:kern w:val="0"/>
          <w:sz w:val="28"/>
          <w:szCs w:val="28"/>
          <w:lang w:bidi="ar"/>
        </w:rPr>
        <w:t>应县</w:t>
      </w:r>
      <w:r>
        <w:rPr>
          <w:rFonts w:cs="Times New Roman"/>
          <w:color w:val="000000"/>
          <w:kern w:val="0"/>
          <w:sz w:val="28"/>
          <w:szCs w:val="28"/>
          <w:lang w:bidi="ar"/>
        </w:rPr>
        <w:t>2017</w:t>
      </w:r>
      <w:r>
        <w:rPr>
          <w:rFonts w:cs="Times New Roman"/>
          <w:color w:val="000000"/>
          <w:kern w:val="0"/>
          <w:sz w:val="28"/>
          <w:szCs w:val="28"/>
          <w:lang w:bidi="ar"/>
        </w:rPr>
        <w:t>年</w:t>
      </w:r>
      <w:r>
        <w:rPr>
          <w:rFonts w:cs="Times New Roman"/>
          <w:color w:val="000000"/>
          <w:kern w:val="0"/>
          <w:sz w:val="28"/>
          <w:szCs w:val="28"/>
          <w:lang w:bidi="ar"/>
        </w:rPr>
        <w:t>-2020</w:t>
      </w:r>
      <w:r>
        <w:rPr>
          <w:rFonts w:cs="Times New Roman"/>
          <w:color w:val="000000"/>
          <w:kern w:val="0"/>
          <w:sz w:val="28"/>
          <w:szCs w:val="28"/>
          <w:lang w:bidi="ar"/>
        </w:rPr>
        <w:t>年土壤污染治理与修复成效进行综合评估，现将评估结果向社会公开。</w:t>
      </w:r>
    </w:p>
    <w:p w:rsidR="00E8215D" w:rsidRDefault="00D51A82" w:rsidP="00D51A82">
      <w:pPr>
        <w:pStyle w:val="2"/>
        <w:numPr>
          <w:ilvl w:val="0"/>
          <w:numId w:val="1"/>
        </w:numPr>
        <w:spacing w:afterLines="50" w:after="156" w:line="560" w:lineRule="exact"/>
        <w:ind w:firstLine="562"/>
        <w:rPr>
          <w:rFonts w:ascii="Times New Roman" w:eastAsia="仿宋" w:hAnsi="Times New Roman"/>
          <w:szCs w:val="28"/>
        </w:rPr>
      </w:pPr>
      <w:r>
        <w:rPr>
          <w:rFonts w:ascii="Times New Roman" w:eastAsia="仿宋" w:hAnsi="Times New Roman"/>
          <w:szCs w:val="28"/>
        </w:rPr>
        <w:t>评估内容</w:t>
      </w:r>
    </w:p>
    <w:p w:rsidR="00E8215D" w:rsidRDefault="00D51A82" w:rsidP="00D51A82">
      <w:pPr>
        <w:widowControl/>
        <w:spacing w:afterLines="50" w:after="156"/>
        <w:ind w:firstLine="560"/>
        <w:jc w:val="left"/>
        <w:rPr>
          <w:rFonts w:cs="Times New Roman"/>
          <w:color w:val="000000"/>
          <w:kern w:val="0"/>
          <w:sz w:val="28"/>
          <w:szCs w:val="28"/>
          <w:lang w:bidi="ar"/>
        </w:rPr>
      </w:pPr>
      <w:r>
        <w:rPr>
          <w:rFonts w:cs="Times New Roman"/>
          <w:color w:val="000000"/>
          <w:kern w:val="0"/>
          <w:sz w:val="28"/>
          <w:szCs w:val="28"/>
          <w:lang w:bidi="ar"/>
        </w:rPr>
        <w:t>综合评估</w:t>
      </w:r>
      <w:r>
        <w:rPr>
          <w:rFonts w:cs="Times New Roman" w:hint="eastAsia"/>
          <w:color w:val="000000"/>
          <w:kern w:val="0"/>
          <w:sz w:val="28"/>
          <w:szCs w:val="28"/>
          <w:lang w:bidi="ar"/>
        </w:rPr>
        <w:t>应县</w:t>
      </w:r>
      <w:r>
        <w:rPr>
          <w:rFonts w:cs="Times New Roman"/>
          <w:color w:val="000000"/>
          <w:kern w:val="0"/>
          <w:sz w:val="28"/>
          <w:szCs w:val="28"/>
          <w:lang w:bidi="ar"/>
        </w:rPr>
        <w:t>2017</w:t>
      </w:r>
      <w:r>
        <w:rPr>
          <w:rFonts w:cs="Times New Roman"/>
          <w:color w:val="000000"/>
          <w:kern w:val="0"/>
          <w:sz w:val="28"/>
          <w:szCs w:val="28"/>
          <w:lang w:bidi="ar"/>
        </w:rPr>
        <w:t>年</w:t>
      </w:r>
      <w:r>
        <w:rPr>
          <w:rFonts w:cs="Times New Roman"/>
          <w:color w:val="000000"/>
          <w:kern w:val="0"/>
          <w:sz w:val="28"/>
          <w:szCs w:val="28"/>
          <w:lang w:bidi="ar"/>
        </w:rPr>
        <w:t>-2020</w:t>
      </w:r>
      <w:r>
        <w:rPr>
          <w:rFonts w:cs="Times New Roman"/>
          <w:color w:val="000000"/>
          <w:kern w:val="0"/>
          <w:sz w:val="28"/>
          <w:szCs w:val="28"/>
          <w:lang w:bidi="ar"/>
        </w:rPr>
        <w:t>年土壤污染防治工作开展情况（</w:t>
      </w:r>
      <w:r>
        <w:rPr>
          <w:rFonts w:cs="Times New Roman" w:hint="eastAsia"/>
          <w:color w:val="000000"/>
          <w:kern w:val="0"/>
          <w:sz w:val="28"/>
          <w:szCs w:val="28"/>
          <w:lang w:bidi="ar"/>
        </w:rPr>
        <w:t>即</w:t>
      </w:r>
      <w:r>
        <w:rPr>
          <w:rFonts w:cs="Times New Roman"/>
          <w:color w:val="000000"/>
          <w:kern w:val="0"/>
          <w:sz w:val="28"/>
          <w:szCs w:val="28"/>
          <w:lang w:bidi="ar"/>
        </w:rPr>
        <w:t>土壤污染治理与修复成效），主要评估内容包括：目标任务完成情况</w:t>
      </w:r>
      <w:r>
        <w:rPr>
          <w:rFonts w:cs="Times New Roman"/>
          <w:color w:val="000000"/>
          <w:kern w:val="0"/>
          <w:sz w:val="28"/>
          <w:szCs w:val="28"/>
          <w:lang w:bidi="ar"/>
        </w:rPr>
        <w:t xml:space="preserve"> </w:t>
      </w:r>
      <w:r>
        <w:rPr>
          <w:rFonts w:cs="Times New Roman"/>
          <w:color w:val="000000"/>
          <w:kern w:val="0"/>
          <w:sz w:val="28"/>
          <w:szCs w:val="28"/>
          <w:lang w:bidi="ar"/>
        </w:rPr>
        <w:t>、土壤污染防治政策制度等的建设情况</w:t>
      </w:r>
      <w:r>
        <w:rPr>
          <w:rFonts w:cs="Times New Roman"/>
          <w:color w:val="000000"/>
          <w:kern w:val="0"/>
          <w:sz w:val="28"/>
          <w:szCs w:val="28"/>
          <w:lang w:bidi="ar"/>
        </w:rPr>
        <w:t xml:space="preserve"> </w:t>
      </w:r>
      <w:r>
        <w:rPr>
          <w:rFonts w:cs="Times New Roman"/>
          <w:color w:val="000000"/>
          <w:kern w:val="0"/>
          <w:sz w:val="28"/>
          <w:szCs w:val="28"/>
          <w:lang w:bidi="ar"/>
        </w:rPr>
        <w:t>、土壤污染源头预防、建设用地土壤环境管理情况</w:t>
      </w:r>
      <w:r>
        <w:rPr>
          <w:rFonts w:cs="Times New Roman"/>
          <w:color w:val="000000"/>
          <w:kern w:val="0"/>
          <w:sz w:val="28"/>
          <w:szCs w:val="28"/>
          <w:lang w:bidi="ar"/>
        </w:rPr>
        <w:t xml:space="preserve"> </w:t>
      </w:r>
      <w:r>
        <w:rPr>
          <w:rFonts w:cs="Times New Roman"/>
          <w:color w:val="000000"/>
          <w:kern w:val="0"/>
          <w:sz w:val="28"/>
          <w:szCs w:val="28"/>
          <w:lang w:bidi="ar"/>
        </w:rPr>
        <w:t>、农用地土壤环境管理情况以及土壤污染防治相关能力建设情况</w:t>
      </w:r>
      <w:r>
        <w:rPr>
          <w:rFonts w:cs="Times New Roman" w:hint="eastAsia"/>
          <w:color w:val="000000"/>
          <w:kern w:val="0"/>
          <w:sz w:val="28"/>
          <w:szCs w:val="28"/>
          <w:lang w:bidi="ar"/>
        </w:rPr>
        <w:t>和</w:t>
      </w:r>
      <w:r>
        <w:rPr>
          <w:rFonts w:cs="Times New Roman"/>
          <w:bCs/>
          <w:sz w:val="28"/>
          <w:szCs w:val="28"/>
        </w:rPr>
        <w:t>宣传教育</w:t>
      </w:r>
      <w:r>
        <w:rPr>
          <w:rFonts w:cs="Times New Roman" w:hint="eastAsia"/>
          <w:bCs/>
          <w:sz w:val="28"/>
          <w:szCs w:val="28"/>
        </w:rPr>
        <w:t>情况</w:t>
      </w:r>
      <w:r>
        <w:rPr>
          <w:rFonts w:cs="Times New Roman"/>
          <w:color w:val="000000"/>
          <w:kern w:val="0"/>
          <w:sz w:val="28"/>
          <w:szCs w:val="28"/>
          <w:lang w:bidi="ar"/>
        </w:rPr>
        <w:t>等内容。</w:t>
      </w:r>
    </w:p>
    <w:p w:rsidR="00E8215D" w:rsidRDefault="00D51A82" w:rsidP="00D51A82">
      <w:pPr>
        <w:widowControl/>
        <w:numPr>
          <w:ilvl w:val="0"/>
          <w:numId w:val="1"/>
        </w:numPr>
        <w:spacing w:afterLines="50" w:after="156"/>
        <w:ind w:firstLine="562"/>
        <w:jc w:val="left"/>
        <w:rPr>
          <w:rFonts w:cs="Times New Roman"/>
          <w:b/>
          <w:sz w:val="28"/>
          <w:szCs w:val="28"/>
        </w:rPr>
      </w:pPr>
      <w:r>
        <w:rPr>
          <w:rFonts w:cs="Times New Roman"/>
          <w:b/>
          <w:sz w:val="28"/>
          <w:szCs w:val="28"/>
        </w:rPr>
        <w:t>评估结论和工作建议</w:t>
      </w:r>
    </w:p>
    <w:p w:rsidR="00E8215D" w:rsidRDefault="00D51A82" w:rsidP="00D51A82">
      <w:pPr>
        <w:widowControl/>
        <w:numPr>
          <w:ilvl w:val="0"/>
          <w:numId w:val="2"/>
        </w:numPr>
        <w:spacing w:afterLines="50" w:after="156"/>
        <w:ind w:firstLine="562"/>
        <w:jc w:val="left"/>
        <w:rPr>
          <w:rFonts w:cs="Times New Roman"/>
          <w:b/>
          <w:sz w:val="28"/>
          <w:szCs w:val="28"/>
        </w:rPr>
      </w:pPr>
      <w:r>
        <w:rPr>
          <w:rFonts w:cs="Times New Roman"/>
          <w:b/>
          <w:sz w:val="28"/>
          <w:szCs w:val="28"/>
        </w:rPr>
        <w:t>评估结论</w:t>
      </w:r>
    </w:p>
    <w:bookmarkEnd w:id="0"/>
    <w:bookmarkEnd w:id="1"/>
    <w:bookmarkEnd w:id="2"/>
    <w:bookmarkEnd w:id="3"/>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应县</w:t>
      </w:r>
      <w:r>
        <w:rPr>
          <w:rFonts w:cs="Times New Roman"/>
          <w:bCs/>
          <w:sz w:val="28"/>
          <w:szCs w:val="28"/>
        </w:rPr>
        <w:t>自</w:t>
      </w:r>
      <w:r>
        <w:rPr>
          <w:rFonts w:cs="Times New Roman"/>
          <w:bCs/>
          <w:sz w:val="28"/>
          <w:szCs w:val="28"/>
        </w:rPr>
        <w:t>2017</w:t>
      </w:r>
      <w:r>
        <w:rPr>
          <w:rFonts w:cs="Times New Roman"/>
          <w:bCs/>
          <w:sz w:val="28"/>
          <w:szCs w:val="28"/>
        </w:rPr>
        <w:t>年土壤专项工作</w:t>
      </w:r>
      <w:r>
        <w:rPr>
          <w:rFonts w:cs="Times New Roman" w:hint="eastAsia"/>
          <w:bCs/>
          <w:sz w:val="28"/>
          <w:szCs w:val="28"/>
        </w:rPr>
        <w:t>开始</w:t>
      </w:r>
      <w:r>
        <w:rPr>
          <w:rFonts w:cs="Times New Roman"/>
          <w:bCs/>
          <w:sz w:val="28"/>
          <w:szCs w:val="28"/>
        </w:rPr>
        <w:t>以来，高度重视土壤污染防治工作开展，</w:t>
      </w:r>
      <w:r>
        <w:rPr>
          <w:rFonts w:cs="Times New Roman" w:hint="eastAsia"/>
          <w:bCs/>
          <w:sz w:val="28"/>
          <w:szCs w:val="28"/>
        </w:rPr>
        <w:t>基本贯彻落实了国家、省、市土壤污染防治工作方案的主要任务，完成了土壤污染防治工作目标，制定了土壤环境保护相关政策制度，初步建立了部门间的信息共享机制和联动监管机制，配合省、市完成了农用地土壤污染状况详查工作以及重点行业企业用地土壤</w:t>
      </w:r>
      <w:r>
        <w:rPr>
          <w:rFonts w:cs="Times New Roman" w:hint="eastAsia"/>
          <w:bCs/>
          <w:sz w:val="28"/>
          <w:szCs w:val="28"/>
        </w:rPr>
        <w:lastRenderedPageBreak/>
        <w:t>污染详查工作，扎实推进土壤污染防治工作，有效的保障了建设用地、农用地和未利用地的土壤环境安全。</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在土壤污染源头防控方面，对涉重金属行业企业进行了排查并配合朔州市完成了重点重金属排放量控制目标，对工业固体废物堆存场所进行了排查和环境整治，加强了对危险废物产生、经营企业监管以及非正规垃圾堆存点排查整治；较好地履行了省、市土壤污染防治工作方案中对农业污染防治相关工作要求，通过开展农药化肥减量化、废弃农膜回收清理、禁养</w:t>
      </w:r>
      <w:proofErr w:type="gramStart"/>
      <w:r>
        <w:rPr>
          <w:rFonts w:cs="Times New Roman" w:hint="eastAsia"/>
          <w:bCs/>
          <w:sz w:val="28"/>
          <w:szCs w:val="28"/>
        </w:rPr>
        <w:t>区划定</w:t>
      </w:r>
      <w:proofErr w:type="gramEnd"/>
      <w:r>
        <w:rPr>
          <w:rFonts w:cs="Times New Roman" w:hint="eastAsia"/>
          <w:bCs/>
          <w:sz w:val="28"/>
          <w:szCs w:val="28"/>
        </w:rPr>
        <w:t>以及畜禽养殖粪污综合利用相关工作，有效的促进全县农药化肥减量化、废弃农膜回收和粪污资源化利用，使全县农业面源污染整治工作取得一定成效。</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在建设用地土壤环境管理方面，应县建立了疑似污染地块名单，严格落实新建</w:t>
      </w:r>
      <w:r>
        <w:rPr>
          <w:rFonts w:cs="Times New Roman"/>
          <w:bCs/>
          <w:sz w:val="28"/>
          <w:szCs w:val="28"/>
        </w:rPr>
        <w:t>重点行业以及其他排放重点管控污染物的建设项目</w:t>
      </w:r>
      <w:r>
        <w:rPr>
          <w:rFonts w:cs="Times New Roman" w:hint="eastAsia"/>
          <w:bCs/>
          <w:sz w:val="28"/>
          <w:szCs w:val="28"/>
        </w:rPr>
        <w:t>土壤污染防治设施“三同时”制度，较好地保障了用地安全，未发生疑似污染地块或污染地块再开发利用不当且造成不良社会影响的事件。</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在农用地土壤环境管理方面，应县配合省、市生态环境监测中心进行</w:t>
      </w:r>
      <w:proofErr w:type="gramStart"/>
      <w:r>
        <w:rPr>
          <w:rFonts w:cs="Times New Roman" w:hint="eastAsia"/>
          <w:bCs/>
          <w:sz w:val="28"/>
          <w:szCs w:val="28"/>
        </w:rPr>
        <w:t>了国控点</w:t>
      </w:r>
      <w:proofErr w:type="gramEnd"/>
      <w:r>
        <w:rPr>
          <w:rFonts w:cs="Times New Roman" w:hint="eastAsia"/>
          <w:bCs/>
          <w:sz w:val="28"/>
          <w:szCs w:val="28"/>
        </w:rPr>
        <w:t>位土壤监测，配合省、市农业农村部门完成了土壤和农产品协同调查点位土壤及农产品样品的监测，配合市农业农村局完成了应县耕地土壤环境质量类别划分工作，确定为优先保护类，无安全利用类和严格管控类。另外，应县积极推进永久基本农田及储备</w:t>
      </w:r>
      <w:proofErr w:type="gramStart"/>
      <w:r>
        <w:rPr>
          <w:rFonts w:cs="Times New Roman" w:hint="eastAsia"/>
          <w:bCs/>
          <w:sz w:val="28"/>
          <w:szCs w:val="28"/>
        </w:rPr>
        <w:t>区划定</w:t>
      </w:r>
      <w:proofErr w:type="gramEnd"/>
      <w:r>
        <w:rPr>
          <w:rFonts w:cs="Times New Roman" w:hint="eastAsia"/>
          <w:bCs/>
          <w:sz w:val="28"/>
          <w:szCs w:val="28"/>
        </w:rPr>
        <w:t>和保护工作，以及高标准农田建设工作，加强了对优先保护类耕地的保护，有效防范了全县农用地土壤污染，未发生因耕地土壤污染导致农产品质量超标且造成不良社会影响的事件。</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lastRenderedPageBreak/>
        <w:t>在土壤污染防治相关能力建设及</w:t>
      </w:r>
      <w:r>
        <w:rPr>
          <w:rFonts w:cs="Times New Roman"/>
          <w:bCs/>
          <w:sz w:val="28"/>
          <w:szCs w:val="28"/>
        </w:rPr>
        <w:t>宣传教育方面，</w:t>
      </w:r>
      <w:r>
        <w:rPr>
          <w:rFonts w:cs="Times New Roman" w:hint="eastAsia"/>
          <w:bCs/>
          <w:sz w:val="28"/>
          <w:szCs w:val="28"/>
        </w:rPr>
        <w:t>应县</w:t>
      </w:r>
      <w:r>
        <w:rPr>
          <w:rFonts w:cs="Times New Roman"/>
          <w:bCs/>
          <w:sz w:val="28"/>
          <w:szCs w:val="28"/>
        </w:rPr>
        <w:t>开展了</w:t>
      </w:r>
      <w:r>
        <w:rPr>
          <w:rFonts w:cs="Times New Roman" w:hint="eastAsia"/>
          <w:bCs/>
          <w:sz w:val="28"/>
          <w:szCs w:val="28"/>
        </w:rPr>
        <w:t>多次含土壤污染防治在内的相关环保知识宣传</w:t>
      </w:r>
      <w:r>
        <w:rPr>
          <w:rFonts w:cs="Times New Roman"/>
          <w:bCs/>
          <w:sz w:val="28"/>
          <w:szCs w:val="28"/>
        </w:rPr>
        <w:t>，举办了多种形式的培训活动，提高了公众环保意识。</w:t>
      </w:r>
    </w:p>
    <w:p w:rsidR="00E8215D" w:rsidRDefault="00D51A82" w:rsidP="00D51A82">
      <w:pPr>
        <w:pStyle w:val="2"/>
        <w:spacing w:afterLines="50" w:after="156" w:line="560" w:lineRule="exact"/>
        <w:ind w:firstLine="562"/>
        <w:rPr>
          <w:rFonts w:ascii="Times New Roman" w:eastAsia="仿宋" w:hAnsi="Times New Roman"/>
          <w:szCs w:val="28"/>
        </w:rPr>
      </w:pPr>
      <w:r>
        <w:rPr>
          <w:rFonts w:ascii="Times New Roman" w:eastAsia="仿宋" w:hAnsi="Times New Roman"/>
          <w:szCs w:val="28"/>
        </w:rPr>
        <w:t>（二）工作建议</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w:t>
      </w:r>
      <w:r>
        <w:rPr>
          <w:rFonts w:cs="Times New Roman" w:hint="eastAsia"/>
          <w:bCs/>
          <w:sz w:val="28"/>
          <w:szCs w:val="28"/>
        </w:rPr>
        <w:t>1</w:t>
      </w:r>
      <w:r>
        <w:rPr>
          <w:rFonts w:cs="Times New Roman" w:hint="eastAsia"/>
          <w:bCs/>
          <w:sz w:val="28"/>
          <w:szCs w:val="28"/>
        </w:rPr>
        <w:t>）建议加强各部门间沟通协作，强化联动机制，保障信息共享渠道畅通。应县尚未成立土壤污染防治工作领导小组，各部门间土壤工作协调需依托应县生态环境保护委员会，在土壤污染防治工作开展过程中有关部门存在沟通协作不畅、信息共享较为被动的问题，建议各土壤相关部门定期或不定期组织召开土壤污染防治业务培训和联席会议，及时对土壤污染防治相关工作进行梳理和总结，共享工作动态，推动各部门的相关责任落实。</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w:t>
      </w:r>
      <w:r>
        <w:rPr>
          <w:rFonts w:cs="Times New Roman" w:hint="eastAsia"/>
          <w:bCs/>
          <w:sz w:val="28"/>
          <w:szCs w:val="28"/>
        </w:rPr>
        <w:t>2</w:t>
      </w:r>
      <w:r>
        <w:rPr>
          <w:rFonts w:cs="Times New Roman" w:hint="eastAsia"/>
          <w:bCs/>
          <w:sz w:val="28"/>
          <w:szCs w:val="28"/>
        </w:rPr>
        <w:t>）建议强化土壤污染源头管控，加强重点监管企业监管力度。建议管理部门按照相关要求及时更新上报土壤污染重点监管企业名单，配合市生态环境局动态更新名单；建议继续加强对土壤污染重点监管企业的监管，通过对土壤污染目标责任书的考核、隐患排查制度的建立、土壤和地下水自行监测及结果分析、突发环境事件应急预案编制等工作落实情况的监督，进一步防范重点行业企业土壤污染。</w:t>
      </w:r>
    </w:p>
    <w:p w:rsidR="00E8215D" w:rsidRDefault="00D51A82" w:rsidP="00D51A82">
      <w:pPr>
        <w:widowControl/>
        <w:spacing w:afterLines="50" w:after="156"/>
        <w:ind w:firstLine="560"/>
        <w:jc w:val="left"/>
        <w:rPr>
          <w:rFonts w:cs="Times New Roman"/>
          <w:bCs/>
          <w:sz w:val="28"/>
          <w:szCs w:val="28"/>
        </w:rPr>
      </w:pPr>
      <w:r>
        <w:rPr>
          <w:rFonts w:cs="Times New Roman" w:hint="eastAsia"/>
          <w:bCs/>
          <w:sz w:val="28"/>
          <w:szCs w:val="28"/>
        </w:rPr>
        <w:t>（</w:t>
      </w:r>
      <w:r>
        <w:rPr>
          <w:rFonts w:cs="Times New Roman" w:hint="eastAsia"/>
          <w:bCs/>
          <w:sz w:val="28"/>
          <w:szCs w:val="28"/>
        </w:rPr>
        <w:t>3</w:t>
      </w:r>
      <w:r>
        <w:rPr>
          <w:rFonts w:cs="Times New Roman" w:hint="eastAsia"/>
          <w:bCs/>
          <w:sz w:val="28"/>
          <w:szCs w:val="28"/>
        </w:rPr>
        <w:t>）建议强化建设用地土壤污染风险管控，严格污染地块准入管理。以用途变更为住宅、公共管理与公共服务用地的地块，以及腾退工矿企业用地为重点，依法开展土壤污染状况调查和风险评估；建议列入年度建设用地供应计划的地块，因地制宜适当提前开展土壤污染状况调查，化解建设用地土壤污染风险管控和修复与土地开发进度之间的矛盾。</w:t>
      </w:r>
    </w:p>
    <w:p w:rsidR="00E8215D" w:rsidRDefault="00E8215D" w:rsidP="00E8215D">
      <w:pPr>
        <w:widowControl/>
        <w:spacing w:afterLines="50" w:after="156"/>
        <w:ind w:firstLine="560"/>
        <w:jc w:val="left"/>
        <w:rPr>
          <w:rFonts w:cs="Times New Roman"/>
          <w:bCs/>
          <w:sz w:val="28"/>
          <w:szCs w:val="28"/>
        </w:rPr>
      </w:pPr>
    </w:p>
    <w:sectPr w:rsidR="00E82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203E0"/>
    <w:multiLevelType w:val="singleLevel"/>
    <w:tmpl w:val="5D1203E0"/>
    <w:lvl w:ilvl="0">
      <w:start w:val="1"/>
      <w:numFmt w:val="chineseCounting"/>
      <w:suff w:val="nothing"/>
      <w:lvlText w:val="%1、"/>
      <w:lvlJc w:val="left"/>
      <w:rPr>
        <w:rFonts w:hint="eastAsia"/>
      </w:rPr>
    </w:lvl>
  </w:abstractNum>
  <w:abstractNum w:abstractNumId="1">
    <w:nsid w:val="797CA8D7"/>
    <w:multiLevelType w:val="singleLevel"/>
    <w:tmpl w:val="797CA8D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6782"/>
    <w:rsid w:val="000E0A6A"/>
    <w:rsid w:val="00D51A82"/>
    <w:rsid w:val="00E8215D"/>
    <w:rsid w:val="0256623E"/>
    <w:rsid w:val="0BBB260C"/>
    <w:rsid w:val="24B45322"/>
    <w:rsid w:val="280267E5"/>
    <w:rsid w:val="3BEB57F1"/>
    <w:rsid w:val="4C55652F"/>
    <w:rsid w:val="507E1399"/>
    <w:rsid w:val="57BE0512"/>
    <w:rsid w:val="59076983"/>
    <w:rsid w:val="5C436782"/>
    <w:rsid w:val="5E6323E7"/>
    <w:rsid w:val="67C26CC1"/>
    <w:rsid w:val="68472261"/>
    <w:rsid w:val="75AA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420"/>
      <w:jc w:val="both"/>
    </w:pPr>
    <w:rPr>
      <w:rFonts w:eastAsia="仿宋" w:cstheme="minorBidi"/>
      <w:kern w:val="2"/>
      <w:sz w:val="24"/>
      <w:szCs w:val="24"/>
    </w:rPr>
  </w:style>
  <w:style w:type="paragraph" w:styleId="1">
    <w:name w:val="heading 1"/>
    <w:basedOn w:val="a"/>
    <w:next w:val="a"/>
    <w:qFormat/>
    <w:pPr>
      <w:keepNext/>
      <w:keepLines/>
      <w:spacing w:line="360" w:lineRule="auto"/>
      <w:outlineLvl w:val="0"/>
    </w:pPr>
    <w:rPr>
      <w:rFonts w:ascii="Calibri" w:eastAsia="黑体" w:hAnsi="Calibri" w:cs="Times New Roman"/>
      <w:b/>
      <w:kern w:val="44"/>
      <w:sz w:val="32"/>
    </w:rPr>
  </w:style>
  <w:style w:type="paragraph" w:styleId="2">
    <w:name w:val="heading 2"/>
    <w:basedOn w:val="a"/>
    <w:next w:val="a"/>
    <w:semiHidden/>
    <w:unhideWhenUsed/>
    <w:qFormat/>
    <w:pPr>
      <w:keepNext/>
      <w:keepLines/>
      <w:spacing w:line="360" w:lineRule="auto"/>
      <w:outlineLvl w:val="1"/>
    </w:pPr>
    <w:rPr>
      <w:rFonts w:ascii="Arial" w:eastAsia="黑体" w:hAnsi="Arial"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200"/>
    </w:p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20">
    <w:name w:val="Body Text First Indent 2"/>
    <w:basedOn w:val="a5"/>
    <w:qFormat/>
  </w:style>
  <w:style w:type="paragraph" w:customStyle="1" w:styleId="a6">
    <w:name w:val="自行监测正文（宋体）"/>
    <w:basedOn w:val="a"/>
    <w:qFormat/>
    <w:pPr>
      <w:spacing w:line="360" w:lineRule="auto"/>
      <w:ind w:firstLine="883"/>
      <w:jc w:val="left"/>
    </w:pPr>
    <w:rPr>
      <w:rFonts w:eastAsia="宋体" w:cs="Times New Roman"/>
    </w:rPr>
  </w:style>
  <w:style w:type="paragraph" w:customStyle="1" w:styleId="a7">
    <w:name w:val="自行监测图格式（宋体）"/>
    <w:basedOn w:val="20"/>
    <w:link w:val="Char"/>
    <w:qFormat/>
    <w:pPr>
      <w:spacing w:line="360" w:lineRule="auto"/>
      <w:ind w:firstLine="0"/>
      <w:jc w:val="center"/>
    </w:pPr>
    <w:rPr>
      <w:rFonts w:eastAsia="宋体" w:cs="Times New Roman"/>
      <w:b/>
    </w:rPr>
  </w:style>
  <w:style w:type="character" w:customStyle="1" w:styleId="Char">
    <w:name w:val="自行监测图格式（宋体） Char"/>
    <w:link w:val="a7"/>
    <w:qFormat/>
    <w:rPr>
      <w:rFonts w:ascii="Times New Roman" w:eastAsia="宋体" w:hAnsi="Times New Roman" w:cs="Times New Roman"/>
      <w:b/>
    </w:rPr>
  </w:style>
  <w:style w:type="paragraph" w:customStyle="1" w:styleId="6">
    <w:name w:val="正文文字 6"/>
    <w:next w:val="a"/>
    <w:qFormat/>
    <w:pPr>
      <w:widowControl w:val="0"/>
      <w:ind w:left="240"/>
      <w:jc w:val="both"/>
    </w:pPr>
    <w:rPr>
      <w:rFonts w:ascii="宋体"/>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420"/>
      <w:jc w:val="both"/>
    </w:pPr>
    <w:rPr>
      <w:rFonts w:eastAsia="仿宋" w:cstheme="minorBidi"/>
      <w:kern w:val="2"/>
      <w:sz w:val="24"/>
      <w:szCs w:val="24"/>
    </w:rPr>
  </w:style>
  <w:style w:type="paragraph" w:styleId="1">
    <w:name w:val="heading 1"/>
    <w:basedOn w:val="a"/>
    <w:next w:val="a"/>
    <w:qFormat/>
    <w:pPr>
      <w:keepNext/>
      <w:keepLines/>
      <w:spacing w:line="360" w:lineRule="auto"/>
      <w:outlineLvl w:val="0"/>
    </w:pPr>
    <w:rPr>
      <w:rFonts w:ascii="Calibri" w:eastAsia="黑体" w:hAnsi="Calibri" w:cs="Times New Roman"/>
      <w:b/>
      <w:kern w:val="44"/>
      <w:sz w:val="32"/>
    </w:rPr>
  </w:style>
  <w:style w:type="paragraph" w:styleId="2">
    <w:name w:val="heading 2"/>
    <w:basedOn w:val="a"/>
    <w:next w:val="a"/>
    <w:semiHidden/>
    <w:unhideWhenUsed/>
    <w:qFormat/>
    <w:pPr>
      <w:keepNext/>
      <w:keepLines/>
      <w:spacing w:line="360" w:lineRule="auto"/>
      <w:outlineLvl w:val="1"/>
    </w:pPr>
    <w:rPr>
      <w:rFonts w:ascii="Arial" w:eastAsia="黑体" w:hAnsi="Arial"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200"/>
    </w:p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20">
    <w:name w:val="Body Text First Indent 2"/>
    <w:basedOn w:val="a5"/>
    <w:qFormat/>
  </w:style>
  <w:style w:type="paragraph" w:customStyle="1" w:styleId="a6">
    <w:name w:val="自行监测正文（宋体）"/>
    <w:basedOn w:val="a"/>
    <w:qFormat/>
    <w:pPr>
      <w:spacing w:line="360" w:lineRule="auto"/>
      <w:ind w:firstLine="883"/>
      <w:jc w:val="left"/>
    </w:pPr>
    <w:rPr>
      <w:rFonts w:eastAsia="宋体" w:cs="Times New Roman"/>
    </w:rPr>
  </w:style>
  <w:style w:type="paragraph" w:customStyle="1" w:styleId="a7">
    <w:name w:val="自行监测图格式（宋体）"/>
    <w:basedOn w:val="20"/>
    <w:link w:val="Char"/>
    <w:qFormat/>
    <w:pPr>
      <w:spacing w:line="360" w:lineRule="auto"/>
      <w:ind w:firstLine="0"/>
      <w:jc w:val="center"/>
    </w:pPr>
    <w:rPr>
      <w:rFonts w:eastAsia="宋体" w:cs="Times New Roman"/>
      <w:b/>
    </w:rPr>
  </w:style>
  <w:style w:type="character" w:customStyle="1" w:styleId="Char">
    <w:name w:val="自行监测图格式（宋体） Char"/>
    <w:link w:val="a7"/>
    <w:qFormat/>
    <w:rPr>
      <w:rFonts w:ascii="Times New Roman" w:eastAsia="宋体" w:hAnsi="Times New Roman" w:cs="Times New Roman"/>
      <w:b/>
    </w:rPr>
  </w:style>
  <w:style w:type="paragraph" w:customStyle="1" w:styleId="6">
    <w:name w:val="正文文字 6"/>
    <w:next w:val="a"/>
    <w:qFormat/>
    <w:pPr>
      <w:widowControl w:val="0"/>
      <w:ind w:left="240"/>
      <w:jc w:val="both"/>
    </w:pPr>
    <w:rPr>
      <w:rFonts w:ascii="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小雅</dc:creator>
  <cp:lastModifiedBy>lenovo</cp:lastModifiedBy>
  <cp:revision>3</cp:revision>
  <dcterms:created xsi:type="dcterms:W3CDTF">2021-06-11T03:48:00Z</dcterms:created>
  <dcterms:modified xsi:type="dcterms:W3CDTF">2021-06-19T09:27:00Z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